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363D" w14:textId="383E1FA8" w:rsidR="005E1C0C" w:rsidRDefault="005E1C0C" w:rsidP="005E1C0C">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4B749C00" wp14:editId="3E2E617A">
                <wp:simplePos x="0" y="0"/>
                <wp:positionH relativeFrom="column">
                  <wp:posOffset>7315200</wp:posOffset>
                </wp:positionH>
                <wp:positionV relativeFrom="paragraph">
                  <wp:posOffset>228600</wp:posOffset>
                </wp:positionV>
                <wp:extent cx="19431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3CE92" w14:textId="77777777" w:rsidR="00BF0049" w:rsidRPr="0095126B" w:rsidRDefault="00BF0049" w:rsidP="005E1C0C">
                            <w:pPr>
                              <w:rPr>
                                <w:rFonts w:ascii="Gill Sans MT" w:hAnsi="Gill Sans MT"/>
                                <w:b/>
                                <w:sz w:val="32"/>
                              </w:rPr>
                            </w:pPr>
                            <w:r w:rsidRPr="0095126B">
                              <w:rPr>
                                <w:rFonts w:ascii="Gill Sans MT" w:hAnsi="Gill Sans MT"/>
                                <w:b/>
                                <w:sz w:val="32"/>
                              </w:rPr>
                              <w:t>Course Numbers</w:t>
                            </w:r>
                          </w:p>
                          <w:p w14:paraId="64B1A6CA" w14:textId="7D81737F" w:rsidR="00BF0049" w:rsidRPr="0095126B" w:rsidRDefault="0029183E" w:rsidP="005E1C0C">
                            <w:pPr>
                              <w:rPr>
                                <w:rFonts w:ascii="Gill Sans MT" w:hAnsi="Gill Sans MT"/>
                                <w:sz w:val="24"/>
                              </w:rPr>
                            </w:pPr>
                            <w:r>
                              <w:rPr>
                                <w:rFonts w:ascii="Gill Sans MT" w:hAnsi="Gill Sans MT"/>
                                <w:sz w:val="24"/>
                              </w:rPr>
                              <w:t>RD007/008</w:t>
                            </w:r>
                          </w:p>
                          <w:p w14:paraId="0E586F8C" w14:textId="77777777" w:rsidR="00BF0049" w:rsidRDefault="00BF0049" w:rsidP="005E1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8in;margin-top:18pt;width:153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" filled="f" strokecolor="black [3213]">
                <v:textbox>
                  <w:txbxContent>
                    <w:p w14:paraId="7753CE92" w14:textId="77777777" w:rsidR="00BF0049" w:rsidRPr="0095126B" w:rsidRDefault="00BF0049" w:rsidP="005E1C0C">
                      <w:pPr>
                        <w:rPr>
                          <w:rFonts w:ascii="Gill Sans MT" w:hAnsi="Gill Sans MT"/>
                          <w:b/>
                          <w:sz w:val="32"/>
                        </w:rPr>
                      </w:pPr>
                      <w:r w:rsidRPr="0095126B">
                        <w:rPr>
                          <w:rFonts w:ascii="Gill Sans MT" w:hAnsi="Gill Sans MT"/>
                          <w:b/>
                          <w:sz w:val="32"/>
                        </w:rPr>
                        <w:t>Course Numbers</w:t>
                      </w:r>
                    </w:p>
                    <w:p w14:paraId="64B1A6CA" w14:textId="7D81737F" w:rsidR="00BF0049" w:rsidRPr="0095126B" w:rsidRDefault="0029183E" w:rsidP="005E1C0C">
                      <w:pPr>
                        <w:rPr>
                          <w:rFonts w:ascii="Gill Sans MT" w:hAnsi="Gill Sans MT"/>
                          <w:sz w:val="24"/>
                        </w:rPr>
                      </w:pPr>
                      <w:r>
                        <w:rPr>
                          <w:rFonts w:ascii="Gill Sans MT" w:hAnsi="Gill Sans MT"/>
                          <w:sz w:val="24"/>
                        </w:rPr>
                        <w:t>RD007/008</w:t>
                      </w:r>
                    </w:p>
                    <w:p w14:paraId="0E586F8C" w14:textId="77777777" w:rsidR="00BF0049" w:rsidRDefault="00BF0049" w:rsidP="005E1C0C"/>
                  </w:txbxContent>
                </v:textbox>
                <w10:wrap type="square"/>
              </v:shape>
            </w:pict>
          </mc:Fallback>
        </mc:AlternateContent>
      </w:r>
      <w:r>
        <w:rPr>
          <w:rFonts w:ascii="Trebuchet MS" w:hAnsi="Trebuchet MS"/>
          <w:noProof/>
        </w:rPr>
        <w:drawing>
          <wp:inline distT="0" distB="0" distL="0" distR="0" wp14:anchorId="254BAAB3" wp14:editId="41B17706">
            <wp:extent cx="3657600" cy="1517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p w14:paraId="4B97211A" w14:textId="77777777" w:rsidR="007746D2" w:rsidRDefault="007746D2">
      <w:pPr>
        <w:rPr>
          <w:rFonts w:ascii="Trebuchet MS" w:hAnsi="Trebuchet MS"/>
        </w:rPr>
      </w:pPr>
      <w:bookmarkStart w:id="0" w:name="_GoBack"/>
      <w:bookmarkEnd w:id="0"/>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767"/>
            <w:gridCol w:w="4785"/>
            <w:gridCol w:w="3712"/>
          </w:tblGrid>
          <w:tr w:rsidR="007746D2" w14:paraId="0CE0063B" w14:textId="77777777" w:rsidTr="006445D4">
            <w:tc>
              <w:tcPr>
                <w:tcW w:w="3525" w:type="dxa"/>
                <w:tcBorders>
                  <w:bottom w:val="single" w:sz="18" w:space="0" w:color="808080" w:themeColor="background1" w:themeShade="80"/>
                  <w:right w:val="single" w:sz="18" w:space="0" w:color="808080" w:themeColor="background1" w:themeShade="80"/>
                </w:tcBorders>
                <w:vAlign w:val="center"/>
              </w:tcPr>
              <w:p w14:paraId="7FDDCFE9" w14:textId="78DBF60F" w:rsidR="007746D2" w:rsidRPr="00907957" w:rsidRDefault="005E1C0C" w:rsidP="00095A5E">
                <w:pPr>
                  <w:pStyle w:val="NoSpacing"/>
                  <w:rPr>
                    <w:rFonts w:ascii="Gill Sans" w:eastAsiaTheme="majorEastAsia" w:hAnsi="Gill Sans" w:cs="Gill Sans"/>
                    <w:sz w:val="144"/>
                    <w:szCs w:val="72"/>
                  </w:rPr>
                </w:pPr>
                <w:sdt>
                  <w:sdtPr>
                    <w:rPr>
                      <w:rFonts w:ascii="Gill Sans" w:eastAsiaTheme="majorEastAsia" w:hAnsi="Gill Sans" w:cs="Gill Sans"/>
                      <w:sz w:val="144"/>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673470">
                      <w:rPr>
                        <w:rFonts w:ascii="Gill Sans" w:eastAsiaTheme="majorEastAsia" w:hAnsi="Gill Sans" w:cs="Gill Sans"/>
                        <w:sz w:val="144"/>
                        <w:szCs w:val="72"/>
                      </w:rPr>
                      <w:t xml:space="preserve">Power </w:t>
                    </w:r>
                    <w:r w:rsidR="00095A5E">
                      <w:rPr>
                        <w:rFonts w:ascii="Gill Sans" w:eastAsiaTheme="majorEastAsia" w:hAnsi="Gill Sans" w:cs="Gill Sans"/>
                        <w:sz w:val="144"/>
                        <w:szCs w:val="72"/>
                      </w:rPr>
                      <w:t>Reading</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276A68C" w14:textId="440FF629"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6445D4">
            <w:tc>
              <w:tcPr>
                <w:tcW w:w="7054" w:type="dxa"/>
                <w:gridSpan w:val="2"/>
                <w:tcBorders>
                  <w:top w:val="single" w:sz="18" w:space="0" w:color="808080" w:themeColor="background1" w:themeShade="80"/>
                </w:tcBorders>
                <w:vAlign w:val="center"/>
              </w:tcPr>
              <w:p w14:paraId="095BAFD9" w14:textId="77777777" w:rsidR="007746D2" w:rsidRDefault="007746D2" w:rsidP="006445D4">
                <w:pPr>
                  <w:pStyle w:val="NoSpacing"/>
                </w:pPr>
              </w:p>
            </w:tc>
            <w:tc>
              <w:tcPr>
                <w:tcW w:w="2738"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77777777" w:rsidR="007746D2" w:rsidRDefault="007746D2" w:rsidP="007746D2"/>
        <w:p w14:paraId="73363845" w14:textId="42513D82" w:rsidR="007746D2" w:rsidRDefault="005E1C0C" w:rsidP="007746D2">
          <w:r>
            <w:rPr>
              <w:rFonts w:ascii="Trebuchet MS" w:hAnsi="Trebuchet MS"/>
              <w:noProof/>
            </w:rPr>
            <w:drawing>
              <wp:anchor distT="0" distB="0" distL="114300" distR="114300" simplePos="0" relativeHeight="251659264" behindDoc="0" locked="0" layoutInCell="1" allowOverlap="1" wp14:anchorId="0F8F08E1" wp14:editId="502FF001">
                <wp:simplePos x="0" y="0"/>
                <wp:positionH relativeFrom="margin">
                  <wp:align>right</wp:align>
                </wp:positionH>
                <wp:positionV relativeFrom="margin">
                  <wp:align>bottom</wp:align>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on6.pn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746D2">
            <w:br w:type="page"/>
          </w:r>
        </w:p>
      </w:sdtContent>
    </w:sdt>
    <w:tbl>
      <w:tblPr>
        <w:tblStyle w:val="MediumShading1"/>
        <w:tblpPr w:leftFromText="180" w:rightFromText="180" w:vertAnchor="page" w:horzAnchor="page" w:tblpX="721" w:tblpY="1153"/>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491"/>
        <w:gridCol w:w="3494"/>
      </w:tblGrid>
      <w:tr w:rsidR="004D2BA2" w:rsidRPr="00041A10" w14:paraId="74078452" w14:textId="77777777" w:rsidTr="00BF0049">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587" w:type="pct"/>
            <w:tcBorders>
              <w:bottom w:val="single" w:sz="4" w:space="0" w:color="auto"/>
            </w:tcBorders>
            <w:vAlign w:val="center"/>
          </w:tcPr>
          <w:p w14:paraId="10B8CC27" w14:textId="77777777" w:rsidR="004D2BA2" w:rsidRPr="0094248F" w:rsidRDefault="004D2BA2" w:rsidP="004D2BA2">
            <w:pPr>
              <w:jc w:val="center"/>
              <w:rPr>
                <w:rFonts w:ascii="Gill Sans" w:hAnsi="Gill Sans" w:cs="Gill Sans"/>
                <w:sz w:val="24"/>
                <w:szCs w:val="24"/>
              </w:rPr>
            </w:pPr>
            <w:r>
              <w:rPr>
                <w:rFonts w:ascii="Gill Sans" w:hAnsi="Gill Sans" w:cs="Gill Sans"/>
                <w:sz w:val="24"/>
                <w:szCs w:val="24"/>
              </w:rPr>
              <w:lastRenderedPageBreak/>
              <w:t>Grading Topics (Year-Long)</w:t>
            </w:r>
          </w:p>
        </w:tc>
        <w:tc>
          <w:tcPr>
            <w:tcW w:w="2413" w:type="pct"/>
            <w:gridSpan w:val="2"/>
            <w:vAlign w:val="center"/>
          </w:tcPr>
          <w:p w14:paraId="1C7C9FB4" w14:textId="77777777" w:rsidR="004D2BA2" w:rsidRPr="0094248F" w:rsidRDefault="004D2BA2" w:rsidP="004D2BA2">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rPr>
            </w:pPr>
            <w:r>
              <w:rPr>
                <w:rFonts w:ascii="Gill Sans" w:hAnsi="Gill Sans" w:cs="Gill Sans"/>
                <w:sz w:val="24"/>
                <w:szCs w:val="24"/>
              </w:rPr>
              <w:t>Standards Alignment</w:t>
            </w:r>
          </w:p>
        </w:tc>
      </w:tr>
      <w:tr w:rsidR="00BF0049" w:rsidRPr="0094248F" w14:paraId="59891676" w14:textId="77777777" w:rsidTr="00BF0049">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D9D9D9" w:themeFill="background1" w:themeFillShade="D9"/>
            <w:vAlign w:val="center"/>
          </w:tcPr>
          <w:p w14:paraId="5F6C2603" w14:textId="77777777" w:rsidR="00BF0049" w:rsidRPr="00E3432B" w:rsidRDefault="00BF0049" w:rsidP="004D2BA2">
            <w:pPr>
              <w:jc w:val="center"/>
              <w:rPr>
                <w:rFonts w:ascii="Gill Sans" w:hAnsi="Gill Sans" w:cs="Gill Sans"/>
              </w:rPr>
            </w:pPr>
            <w:r w:rsidRPr="00E3432B">
              <w:rPr>
                <w:rFonts w:ascii="Gill Sans" w:hAnsi="Gill Sans" w:cs="Gill Sans"/>
                <w:sz w:val="48"/>
              </w:rPr>
              <w:t>Comprehension Growth</w:t>
            </w:r>
          </w:p>
        </w:tc>
        <w:tc>
          <w:tcPr>
            <w:tcW w:w="1206" w:type="pct"/>
            <w:tcBorders>
              <w:top w:val="single" w:sz="8" w:space="0" w:color="404040" w:themeColor="text1" w:themeTint="BF"/>
              <w:left w:val="single" w:sz="4" w:space="0" w:color="auto"/>
            </w:tcBorders>
            <w:shd w:val="clear" w:color="auto" w:fill="D9D9D9" w:themeFill="background1" w:themeFillShade="D9"/>
            <w:vAlign w:val="center"/>
          </w:tcPr>
          <w:p w14:paraId="52FB3467" w14:textId="77777777" w:rsidR="00BF0049"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w:t>
            </w:r>
          </w:p>
          <w:p w14:paraId="317863C7" w14:textId="5F8F4B50" w:rsidR="00BF0049" w:rsidRDefault="00BF0049" w:rsidP="00BF0049">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10</w:t>
            </w:r>
          </w:p>
        </w:tc>
        <w:tc>
          <w:tcPr>
            <w:tcW w:w="1207" w:type="pct"/>
            <w:tcBorders>
              <w:top w:val="single" w:sz="8" w:space="0" w:color="404040" w:themeColor="text1" w:themeTint="BF"/>
              <w:right w:val="single" w:sz="4" w:space="0" w:color="auto"/>
            </w:tcBorders>
            <w:shd w:val="clear" w:color="auto" w:fill="D9D9D9" w:themeFill="background1" w:themeFillShade="D9"/>
            <w:vAlign w:val="center"/>
          </w:tcPr>
          <w:p w14:paraId="12F50A92" w14:textId="6B699E9C" w:rsidR="00BF0049"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w:t>
            </w:r>
          </w:p>
          <w:p w14:paraId="5DA33730" w14:textId="77777777" w:rsidR="00BF0049" w:rsidRPr="00571E75"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10</w:t>
            </w:r>
          </w:p>
        </w:tc>
      </w:tr>
      <w:tr w:rsidR="00BF0049" w:rsidRPr="0094248F" w14:paraId="31A3C66B" w14:textId="77777777" w:rsidTr="00BF0049">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auto"/>
            <w:vAlign w:val="center"/>
          </w:tcPr>
          <w:p w14:paraId="7B2F8787" w14:textId="77777777" w:rsidR="00BF0049" w:rsidRPr="00E3432B" w:rsidRDefault="00BF0049" w:rsidP="004D2BA2">
            <w:pPr>
              <w:jc w:val="center"/>
              <w:rPr>
                <w:rFonts w:ascii="Gill Sans" w:hAnsi="Gill Sans" w:cs="Gill Sans"/>
                <w:sz w:val="48"/>
                <w:szCs w:val="48"/>
              </w:rPr>
            </w:pPr>
            <w:r w:rsidRPr="00E3432B">
              <w:rPr>
                <w:rFonts w:ascii="Gill Sans" w:hAnsi="Gill Sans" w:cs="Gill Sans"/>
                <w:sz w:val="48"/>
                <w:szCs w:val="48"/>
              </w:rPr>
              <w:t>Writing Growth</w:t>
            </w:r>
          </w:p>
        </w:tc>
        <w:tc>
          <w:tcPr>
            <w:tcW w:w="1206" w:type="pct"/>
            <w:tcBorders>
              <w:left w:val="single" w:sz="4" w:space="0" w:color="auto"/>
            </w:tcBorders>
            <w:shd w:val="clear" w:color="auto" w:fill="auto"/>
            <w:vAlign w:val="center"/>
          </w:tcPr>
          <w:p w14:paraId="5B0C2625" w14:textId="77777777" w:rsidR="00BF0049" w:rsidRDefault="00BF0049" w:rsidP="004D2BA2">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4</w:t>
            </w:r>
          </w:p>
        </w:tc>
        <w:tc>
          <w:tcPr>
            <w:tcW w:w="1207" w:type="pct"/>
            <w:tcBorders>
              <w:right w:val="single" w:sz="4" w:space="0" w:color="auto"/>
            </w:tcBorders>
            <w:shd w:val="clear" w:color="auto" w:fill="auto"/>
            <w:vAlign w:val="center"/>
          </w:tcPr>
          <w:p w14:paraId="06D1973D" w14:textId="0416000A" w:rsidR="00BF0049" w:rsidRPr="003B0C76" w:rsidRDefault="00BF0049" w:rsidP="003B0C76">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5</w:t>
            </w:r>
          </w:p>
        </w:tc>
      </w:tr>
      <w:tr w:rsidR="00BF0049" w:rsidRPr="0094248F" w14:paraId="4BC94CFF" w14:textId="77777777" w:rsidTr="00BF0049">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D9D9D9"/>
            <w:vAlign w:val="center"/>
          </w:tcPr>
          <w:p w14:paraId="72FFC6BE" w14:textId="77777777" w:rsidR="00BF0049" w:rsidRPr="00E3432B" w:rsidRDefault="00BF0049" w:rsidP="004D2BA2">
            <w:pPr>
              <w:jc w:val="center"/>
              <w:rPr>
                <w:rFonts w:ascii="Gill Sans" w:hAnsi="Gill Sans" w:cs="Gill Sans"/>
                <w:sz w:val="48"/>
                <w:szCs w:val="48"/>
              </w:rPr>
            </w:pPr>
            <w:r w:rsidRPr="00E3432B">
              <w:rPr>
                <w:rFonts w:ascii="Gill Sans" w:hAnsi="Gill Sans" w:cs="Gill Sans"/>
                <w:sz w:val="48"/>
                <w:szCs w:val="48"/>
              </w:rPr>
              <w:t>Vocabulary Growth</w:t>
            </w:r>
          </w:p>
        </w:tc>
        <w:tc>
          <w:tcPr>
            <w:tcW w:w="1206" w:type="pct"/>
            <w:tcBorders>
              <w:left w:val="single" w:sz="4" w:space="0" w:color="auto"/>
            </w:tcBorders>
            <w:shd w:val="clear" w:color="auto" w:fill="D9D9D9"/>
            <w:vAlign w:val="center"/>
          </w:tcPr>
          <w:p w14:paraId="597858FD" w14:textId="77777777"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4</w:t>
            </w:r>
          </w:p>
          <w:p w14:paraId="49E4AA49" w14:textId="1C70AD40" w:rsidR="00BF0049" w:rsidRPr="00BF0049" w:rsidRDefault="00BF0049" w:rsidP="00BF0049">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4</w:t>
            </w:r>
          </w:p>
        </w:tc>
        <w:tc>
          <w:tcPr>
            <w:tcW w:w="1207" w:type="pct"/>
            <w:tcBorders>
              <w:right w:val="single" w:sz="4" w:space="0" w:color="auto"/>
            </w:tcBorders>
            <w:shd w:val="clear" w:color="auto" w:fill="D9D9D9"/>
            <w:vAlign w:val="center"/>
          </w:tcPr>
          <w:p w14:paraId="5E17B433" w14:textId="77777777"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4</w:t>
            </w:r>
          </w:p>
          <w:p w14:paraId="6E9D7318" w14:textId="4E68E2D1"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5</w:t>
            </w:r>
          </w:p>
          <w:p w14:paraId="29556325" w14:textId="77777777" w:rsidR="00BF0049" w:rsidRPr="00571E75"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6</w:t>
            </w:r>
          </w:p>
        </w:tc>
      </w:tr>
    </w:tbl>
    <w:p w14:paraId="5519F1AB" w14:textId="3D329E62" w:rsidR="007746D2" w:rsidRPr="004D2BA2" w:rsidRDefault="007746D2" w:rsidP="004D2BA2">
      <w:pPr>
        <w:spacing w:after="0"/>
        <w:rPr>
          <w:rFonts w:asciiTheme="minorHAnsi" w:hAnsiTheme="minorHAnsi"/>
          <w:sz w:val="16"/>
        </w:rPr>
      </w:pPr>
    </w:p>
    <w:p w14:paraId="4A58ADB9" w14:textId="77777777" w:rsidR="00E3432B" w:rsidRPr="004D2BA2" w:rsidRDefault="00E3432B" w:rsidP="004D2BA2">
      <w:pPr>
        <w:spacing w:after="0"/>
        <w:rPr>
          <w:rFonts w:asciiTheme="minorHAnsi" w:hAnsiTheme="minorHAnsi"/>
          <w:sz w:val="16"/>
        </w:rPr>
        <w:sectPr w:rsidR="00E3432B" w:rsidRPr="004D2BA2" w:rsidSect="00144DB4">
          <w:headerReference w:type="even" r:id="rId12"/>
          <w:headerReference w:type="default" r:id="rId13"/>
          <w:footerReference w:type="default" r:id="rId14"/>
          <w:footerReference w:type="first" r:id="rId15"/>
          <w:pgSz w:w="15840" w:h="12240" w:orient="landscape"/>
          <w:pgMar w:top="432" w:right="576" w:bottom="576" w:left="432" w:header="288" w:footer="720" w:gutter="0"/>
          <w:cols w:space="720"/>
          <w:titlePg/>
          <w:docGrid w:linePitch="360"/>
        </w:sectPr>
      </w:pPr>
    </w:p>
    <w:p w14:paraId="178223C5" w14:textId="4E8D9E4F" w:rsidR="00E3432B" w:rsidRPr="00A47BB8" w:rsidRDefault="00BF0049" w:rsidP="007746D2">
      <w:pPr>
        <w:rPr>
          <w:rFonts w:ascii="Gill Sans" w:hAnsi="Gill Sans" w:cs="Gill Sans"/>
          <w:sz w:val="32"/>
          <w:szCs w:val="32"/>
        </w:rPr>
      </w:pPr>
      <w:r>
        <w:rPr>
          <w:rFonts w:ascii="Gill Sans" w:hAnsi="Gill Sans" w:cs="Gill Sans"/>
          <w:sz w:val="32"/>
          <w:szCs w:val="32"/>
        </w:rPr>
        <w:lastRenderedPageBreak/>
        <w:t>Considerations of t</w:t>
      </w:r>
      <w:r w:rsidR="00E3432B" w:rsidRPr="00A47BB8">
        <w:rPr>
          <w:rFonts w:ascii="Gill Sans" w:hAnsi="Gill Sans" w:cs="Gill Sans"/>
          <w:sz w:val="32"/>
          <w:szCs w:val="32"/>
        </w:rPr>
        <w:t>he Grading Scale</w:t>
      </w:r>
    </w:p>
    <w:p w14:paraId="76A2FB6E" w14:textId="55EE5FF0" w:rsidR="00E3432B" w:rsidRPr="00A47BB8" w:rsidRDefault="00E3432B" w:rsidP="00A47BB8">
      <w:pPr>
        <w:jc w:val="both"/>
        <w:rPr>
          <w:rFonts w:ascii="Gill Sans" w:hAnsi="Gill Sans" w:cs="Gill Sans"/>
        </w:rPr>
      </w:pPr>
      <w:r w:rsidRPr="00A47BB8">
        <w:rPr>
          <w:rFonts w:ascii="Gill Sans" w:hAnsi="Gill Sans" w:cs="Gill Sans"/>
        </w:rPr>
        <w:t xml:space="preserve">Power </w:t>
      </w:r>
      <w:r w:rsidR="003B0C76">
        <w:rPr>
          <w:rFonts w:ascii="Gill Sans" w:hAnsi="Gill Sans" w:cs="Gill Sans"/>
        </w:rPr>
        <w:t>Reading</w:t>
      </w:r>
      <w:r w:rsidR="00BF0049">
        <w:rPr>
          <w:rFonts w:ascii="Gill Sans" w:hAnsi="Gill Sans" w:cs="Gill Sans"/>
        </w:rPr>
        <w:t xml:space="preserve"> is a Pass/</w:t>
      </w:r>
      <w:r w:rsidRPr="00A47BB8">
        <w:rPr>
          <w:rFonts w:ascii="Gill Sans" w:hAnsi="Gill Sans" w:cs="Gill Sans"/>
        </w:rPr>
        <w:t xml:space="preserve">No Pass course, which means students will receive a final grade each semester of either “P” (passing the course and earning credit) or “NP” (not passing the course and earning no credit). </w:t>
      </w:r>
      <w:r w:rsidRPr="00A47BB8">
        <w:rPr>
          <w:rFonts w:ascii="Gill Sans" w:hAnsi="Gill Sans" w:cs="Gill Sans"/>
          <w:b/>
        </w:rPr>
        <w:t xml:space="preserve">A student earns a “P” if their cumulative average among the </w:t>
      </w:r>
      <w:r w:rsidR="003B0C76">
        <w:rPr>
          <w:rFonts w:ascii="Gill Sans" w:hAnsi="Gill Sans" w:cs="Gill Sans"/>
          <w:b/>
        </w:rPr>
        <w:t>three</w:t>
      </w:r>
      <w:r w:rsidRPr="00A47BB8">
        <w:rPr>
          <w:rFonts w:ascii="Gill Sans" w:hAnsi="Gill Sans" w:cs="Gill Sans"/>
          <w:b/>
        </w:rPr>
        <w:t xml:space="preserve"> grading topics is 1.5 or higher.</w:t>
      </w:r>
    </w:p>
    <w:p w14:paraId="5074F012" w14:textId="77777777" w:rsidR="00BF0049" w:rsidRDefault="005E1C0C" w:rsidP="005E1C0C">
      <w:pPr>
        <w:rPr>
          <w:rFonts w:ascii="Gill Sans" w:hAnsi="Gill Sans" w:cs="Gill Sans"/>
        </w:rPr>
      </w:pPr>
      <w:r w:rsidRPr="00164E0E">
        <w:rPr>
          <w:rFonts w:ascii="Gill Sans" w:hAnsi="Gill Sans" w:cs="Gill Sans"/>
        </w:rPr>
        <w:t xml:space="preserve">Power </w:t>
      </w:r>
      <w:r>
        <w:rPr>
          <w:rFonts w:ascii="Gill Sans" w:hAnsi="Gill Sans" w:cs="Gill Sans"/>
        </w:rPr>
        <w:t>Reading is</w:t>
      </w:r>
      <w:r w:rsidRPr="00164E0E">
        <w:rPr>
          <w:rFonts w:ascii="Gill Sans" w:hAnsi="Gill Sans" w:cs="Gill Sans"/>
        </w:rPr>
        <w:t xml:space="preserve"> </w:t>
      </w:r>
      <w:r w:rsidRPr="00164E0E">
        <w:rPr>
          <w:rFonts w:ascii="Gill Sans" w:hAnsi="Gill Sans" w:cs="Gill Sans"/>
          <w:b/>
          <w:bCs/>
        </w:rPr>
        <w:t xml:space="preserve">Progress-Based </w:t>
      </w:r>
      <w:r>
        <w:rPr>
          <w:rFonts w:ascii="Gill Sans" w:hAnsi="Gill Sans" w:cs="Gill Sans"/>
          <w:b/>
          <w:bCs/>
        </w:rPr>
        <w:t>SRG Curriculum</w:t>
      </w:r>
      <w:r>
        <w:rPr>
          <w:rFonts w:ascii="Gill Sans" w:hAnsi="Gill Sans" w:cs="Gill Sans"/>
        </w:rPr>
        <w:t xml:space="preserve">. This model uses </w:t>
      </w:r>
      <w:r w:rsidRPr="005E1C0C">
        <w:rPr>
          <w:rFonts w:ascii="Gill Sans" w:hAnsi="Gill Sans" w:cs="Gill Sans"/>
          <w:i/>
        </w:rPr>
        <w:t>growth scales</w:t>
      </w:r>
      <w:r>
        <w:rPr>
          <w:rFonts w:ascii="Gill Sans" w:hAnsi="Gill Sans" w:cs="Gill Sans"/>
        </w:rPr>
        <w:t xml:space="preserve"> instead of </w:t>
      </w:r>
      <w:r w:rsidRPr="005E1C0C">
        <w:rPr>
          <w:rFonts w:ascii="Gill Sans" w:hAnsi="Gill Sans" w:cs="Gill Sans"/>
          <w:i/>
        </w:rPr>
        <w:t>proficiency scales</w:t>
      </w:r>
      <w:r w:rsidRPr="00164E0E">
        <w:rPr>
          <w:rFonts w:ascii="Gill Sans" w:hAnsi="Gill Sans" w:cs="Gill Sans"/>
        </w:rPr>
        <w:t xml:space="preserve"> to measure student achievement in the course. These growth scales were designed to focus on a student’s efforts to improve their skills in an area of targeted remediation, rather than to measure their proficiency in topics in which they are</w:t>
      </w:r>
      <w:r w:rsidR="00BF0049">
        <w:rPr>
          <w:rFonts w:ascii="Gill Sans" w:hAnsi="Gill Sans" w:cs="Gill Sans"/>
        </w:rPr>
        <w:t>, by definition, not proficient.</w:t>
      </w:r>
    </w:p>
    <w:p w14:paraId="4FC03009" w14:textId="51E82B9F" w:rsidR="005E1C0C" w:rsidRPr="00164E0E" w:rsidRDefault="005E1C0C" w:rsidP="005E1C0C">
      <w:pPr>
        <w:rPr>
          <w:rFonts w:ascii="Gill Sans" w:hAnsi="Gill Sans" w:cs="Gill Sans"/>
        </w:rPr>
      </w:pPr>
      <w:r w:rsidRPr="00164E0E">
        <w:rPr>
          <w:rFonts w:ascii="Gill Sans" w:hAnsi="Gill Sans" w:cs="Gill Sans"/>
          <w:b/>
          <w:bCs/>
        </w:rPr>
        <w:t>Using the Scales</w:t>
      </w:r>
    </w:p>
    <w:p w14:paraId="1AFF9A32" w14:textId="77777777" w:rsidR="005E1C0C" w:rsidRPr="00164E0E" w:rsidRDefault="005E1C0C" w:rsidP="005E1C0C">
      <w:pPr>
        <w:rPr>
          <w:rFonts w:ascii="Gill Sans" w:hAnsi="Gill Sans" w:cs="Gill Sans"/>
        </w:rPr>
      </w:pPr>
      <w:r w:rsidRPr="00164E0E">
        <w:rPr>
          <w:rFonts w:ascii="Gill Sans" w:hAnsi="Gill Sans" w:cs="Gill Sans"/>
        </w:rPr>
        <w:t xml:space="preserve">Each grading scale in a Progress-Based SRG course has several levels articulated. Because these scales measure growth, that means they are very handy for determining topic scores (For example: </w:t>
      </w:r>
      <w:r w:rsidRPr="00164E0E">
        <w:rPr>
          <w:rFonts w:ascii="Gill Sans" w:hAnsi="Gill Sans" w:cs="Gill Sans"/>
          <w:i/>
          <w:iCs/>
        </w:rPr>
        <w:t>I see you have been getting better at Comprehension over the past six weeks—you’re at a 2!</w:t>
      </w:r>
      <w:r w:rsidRPr="00164E0E">
        <w:rPr>
          <w:rFonts w:ascii="Gill Sans" w:hAnsi="Gill Sans" w:cs="Gill Sans"/>
        </w:rPr>
        <w:t>) but less helpful when scoring a specific piece of evidence. </w:t>
      </w:r>
    </w:p>
    <w:p w14:paraId="5ACB2A3B" w14:textId="77777777" w:rsidR="005E1C0C" w:rsidRPr="00164E0E" w:rsidRDefault="005E1C0C" w:rsidP="005E1C0C">
      <w:pPr>
        <w:rPr>
          <w:rFonts w:ascii="Gill Sans" w:hAnsi="Gill Sans" w:cs="Gill Sans"/>
        </w:rPr>
      </w:pPr>
      <w:r w:rsidRPr="00164E0E">
        <w:rPr>
          <w:rFonts w:ascii="Gill Sans" w:hAnsi="Gill Sans" w:cs="Gill Sans"/>
        </w:rPr>
        <w:t>When recording a score for a specific piece of evidence, think about the scales like this…</w:t>
      </w:r>
    </w:p>
    <w:p w14:paraId="3F2010DF" w14:textId="02F910D7" w:rsidR="005E1C0C" w:rsidRPr="00164E0E" w:rsidRDefault="005E1C0C" w:rsidP="005E1C0C">
      <w:pPr>
        <w:spacing w:line="240" w:lineRule="auto"/>
        <w:rPr>
          <w:rFonts w:ascii="Gill Sans" w:hAnsi="Gill Sans" w:cs="Gill Sans"/>
        </w:rPr>
      </w:pPr>
      <w:r w:rsidRPr="00164E0E">
        <w:rPr>
          <w:rFonts w:ascii="Gill Sans" w:hAnsi="Gill Sans" w:cs="Gill Sans"/>
          <w:b/>
          <w:bCs/>
        </w:rPr>
        <w:t>0</w:t>
      </w:r>
      <w:r w:rsidRPr="00164E0E">
        <w:rPr>
          <w:rFonts w:ascii="Gill Sans" w:hAnsi="Gill Sans" w:cs="Gill Sans"/>
        </w:rPr>
        <w:t>: Student’s performance was notably below the expectation.</w:t>
      </w:r>
      <w:r>
        <w:rPr>
          <w:rFonts w:ascii="Gill Sans" w:hAnsi="Gill Sans" w:cs="Gill Sans"/>
        </w:rPr>
        <w:br/>
      </w:r>
      <w:r w:rsidRPr="00164E0E">
        <w:rPr>
          <w:rFonts w:ascii="Gill Sans" w:hAnsi="Gill Sans" w:cs="Gill Sans"/>
          <w:b/>
          <w:bCs/>
        </w:rPr>
        <w:t>1</w:t>
      </w:r>
      <w:r w:rsidRPr="00164E0E">
        <w:rPr>
          <w:rFonts w:ascii="Gill Sans" w:hAnsi="Gill Sans" w:cs="Gill Sans"/>
        </w:rPr>
        <w:t>: Student’s performance was approaching the expectation.</w:t>
      </w:r>
      <w:r>
        <w:rPr>
          <w:rFonts w:ascii="Gill Sans" w:hAnsi="Gill Sans" w:cs="Gill Sans"/>
        </w:rPr>
        <w:br/>
      </w:r>
      <w:r w:rsidRPr="00164E0E">
        <w:rPr>
          <w:rFonts w:ascii="Gill Sans" w:hAnsi="Gill Sans" w:cs="Gill Sans"/>
          <w:b/>
          <w:bCs/>
        </w:rPr>
        <w:t>2</w:t>
      </w:r>
      <w:r w:rsidRPr="00164E0E">
        <w:rPr>
          <w:rFonts w:ascii="Gill Sans" w:hAnsi="Gill Sans" w:cs="Gill Sans"/>
        </w:rPr>
        <w:t xml:space="preserve">: Student’s performance was at or above </w:t>
      </w:r>
      <w:r>
        <w:rPr>
          <w:rFonts w:ascii="Gill Sans" w:hAnsi="Gill Sans" w:cs="Gill Sans"/>
        </w:rPr>
        <w:t>t</w:t>
      </w:r>
      <w:r w:rsidRPr="00164E0E">
        <w:rPr>
          <w:rFonts w:ascii="Gill Sans" w:hAnsi="Gill Sans" w:cs="Gill Sans"/>
        </w:rPr>
        <w:t>he expectation.</w:t>
      </w:r>
    </w:p>
    <w:p w14:paraId="4C340304" w14:textId="77777777" w:rsidR="005E1C0C" w:rsidRPr="00164E0E" w:rsidRDefault="005E1C0C" w:rsidP="005E1C0C">
      <w:pPr>
        <w:rPr>
          <w:rFonts w:ascii="Gill Sans" w:hAnsi="Gill Sans" w:cs="Gill Sans"/>
        </w:rPr>
      </w:pPr>
      <w:r w:rsidRPr="00164E0E">
        <w:rPr>
          <w:rFonts w:ascii="Gill Sans" w:hAnsi="Gill Sans" w:cs="Gill Sans"/>
          <w:i/>
          <w:iCs/>
        </w:rPr>
        <w:t>So if a student is taking an 8 question comprehension quiz and you wish to record that quiz as a piece of evidence under the Comprehension Growth topic, you would give a student with a 75% or greater score a 2 (that is at, or above, the expectation), while a student who only got a 25% would get a 0 (notably below the 75% expectation).</w:t>
      </w:r>
    </w:p>
    <w:p w14:paraId="02649FA7" w14:textId="77777777" w:rsidR="005E1C0C" w:rsidRPr="00164E0E" w:rsidRDefault="005E1C0C" w:rsidP="005E1C0C">
      <w:pPr>
        <w:rPr>
          <w:rFonts w:ascii="Gill Sans" w:hAnsi="Gill Sans" w:cs="Gill Sans"/>
        </w:rPr>
      </w:pPr>
      <w:r w:rsidRPr="00164E0E">
        <w:rPr>
          <w:rFonts w:ascii="Gill Sans" w:hAnsi="Gill Sans" w:cs="Gill Sans"/>
          <w:b/>
          <w:bCs/>
        </w:rPr>
        <w:lastRenderedPageBreak/>
        <w:t>The 3</w:t>
      </w:r>
    </w:p>
    <w:p w14:paraId="694D6C0F" w14:textId="77777777" w:rsidR="005E1C0C" w:rsidRPr="003B0C76" w:rsidRDefault="005E1C0C" w:rsidP="005E1C0C">
      <w:pPr>
        <w:rPr>
          <w:rFonts w:ascii="Gill Sans" w:hAnsi="Gill Sans" w:cs="Gill Sans"/>
          <w:sz w:val="32"/>
          <w:szCs w:val="32"/>
        </w:rPr>
      </w:pPr>
      <w:r w:rsidRPr="00164E0E">
        <w:rPr>
          <w:rFonts w:ascii="Gill Sans" w:hAnsi="Gill Sans" w:cs="Gill Sans"/>
        </w:rPr>
        <w:t xml:space="preserve">We included the Level 3 criteria on all of our growth scales as a way to account for a student that has clearly reached grade level. If you are teaching a Power </w:t>
      </w:r>
      <w:r>
        <w:rPr>
          <w:rFonts w:ascii="Gill Sans" w:hAnsi="Gill Sans" w:cs="Gill Sans"/>
        </w:rPr>
        <w:t>Reading</w:t>
      </w:r>
      <w:r w:rsidRPr="00164E0E">
        <w:rPr>
          <w:rFonts w:ascii="Gill Sans" w:hAnsi="Gill Sans" w:cs="Gill Sans"/>
        </w:rPr>
        <w:t xml:space="preserve"> class and a student has achieved grade level expectations in comprehension consistently, you would give that student a 3 on the topic score for the report card to clearly communicate that they have mastered this topic. Students scoring 3s probably do not belong in a Progress-Based SRG course for very long (two full semesters of intervention for a student comprehending and using vocabulary on grade level would not be good</w:t>
      </w:r>
      <w:r>
        <w:rPr>
          <w:rFonts w:ascii="Gill Sans" w:hAnsi="Gill Sans" w:cs="Gill Sans"/>
        </w:rPr>
        <w:t>, for example)</w:t>
      </w:r>
      <w:r w:rsidRPr="003B0C76">
        <w:rPr>
          <w:rFonts w:ascii="Gill Sans" w:hAnsi="Gill Sans" w:cs="Gill Sans"/>
          <w:sz w:val="32"/>
          <w:szCs w:val="32"/>
        </w:rPr>
        <w:t xml:space="preserve"> </w:t>
      </w:r>
    </w:p>
    <w:p w14:paraId="3707CC47" w14:textId="77777777" w:rsidR="00BF0049" w:rsidRDefault="00BF0049">
      <w:pPr>
        <w:rPr>
          <w:rFonts w:ascii="Gill Sans" w:hAnsi="Gill Sans" w:cs="Gill Sans"/>
          <w:sz w:val="32"/>
          <w:szCs w:val="32"/>
        </w:rPr>
        <w:sectPr w:rsidR="00BF0049" w:rsidSect="00BF0049">
          <w:type w:val="continuous"/>
          <w:pgSz w:w="15840" w:h="12240" w:orient="landscape"/>
          <w:pgMar w:top="432" w:right="576" w:bottom="576" w:left="432" w:header="288" w:footer="720" w:gutter="0"/>
          <w:cols w:num="2" w:space="288"/>
          <w:titlePg/>
          <w:docGrid w:linePitch="360"/>
        </w:sectPr>
      </w:pPr>
    </w:p>
    <w:p w14:paraId="040E9373" w14:textId="52DE58F7" w:rsidR="00095A5E" w:rsidRDefault="00095A5E">
      <w:pPr>
        <w:rPr>
          <w:rFonts w:ascii="Gill Sans" w:hAnsi="Gill Sans" w:cs="Gill Sans"/>
          <w:sz w:val="32"/>
          <w:szCs w:val="32"/>
        </w:rPr>
      </w:pPr>
      <w:r>
        <w:rPr>
          <w:rFonts w:ascii="Gill Sans" w:hAnsi="Gill Sans" w:cs="Gill Sans"/>
          <w:sz w:val="32"/>
          <w:szCs w:val="32"/>
        </w:rPr>
        <w:br w:type="page"/>
      </w:r>
    </w:p>
    <w:p w14:paraId="7F691BA8" w14:textId="165CA15A" w:rsidR="00B47DC5" w:rsidRPr="00012A52" w:rsidRDefault="00B47DC5" w:rsidP="00B47DC5">
      <w:pPr>
        <w:rPr>
          <w:rFonts w:ascii="Gill Sans" w:hAnsi="Gill Sans" w:cs="Gill Sans"/>
          <w:sz w:val="32"/>
          <w:szCs w:val="32"/>
        </w:rPr>
      </w:pPr>
      <w:proofErr w:type="gramStart"/>
      <w:r w:rsidRPr="00012A52">
        <w:rPr>
          <w:rFonts w:ascii="Gill Sans" w:hAnsi="Gill Sans" w:cs="Gill Sans"/>
          <w:sz w:val="32"/>
          <w:szCs w:val="32"/>
        </w:rPr>
        <w:t>Year-Long</w:t>
      </w:r>
      <w:proofErr w:type="gramEnd"/>
      <w:r w:rsidRPr="00012A52">
        <w:rPr>
          <w:rFonts w:ascii="Gill Sans" w:hAnsi="Gill Sans" w:cs="Gill Sans"/>
          <w:sz w:val="32"/>
          <w:szCs w:val="32"/>
        </w:rPr>
        <w:t xml:space="preserve"> </w:t>
      </w:r>
      <w:r w:rsidR="00A47BB8">
        <w:rPr>
          <w:rFonts w:ascii="Gill Sans" w:hAnsi="Gill Sans" w:cs="Gill Sans"/>
          <w:sz w:val="32"/>
          <w:szCs w:val="32"/>
        </w:rPr>
        <w:t xml:space="preserve">Power </w:t>
      </w:r>
      <w:r w:rsidR="003B0C76">
        <w:rPr>
          <w:rFonts w:ascii="Gill Sans" w:hAnsi="Gill Sans" w:cs="Gill Sans"/>
          <w:sz w:val="32"/>
          <w:szCs w:val="32"/>
        </w:rPr>
        <w:t>Reading</w:t>
      </w:r>
      <w:r w:rsidRPr="00012A52">
        <w:rPr>
          <w:rFonts w:ascii="Gill Sans" w:hAnsi="Gill Sans" w:cs="Gill Sans"/>
          <w:sz w:val="32"/>
          <w:szCs w:val="32"/>
        </w:rPr>
        <w:t xml:space="preserve"> </w:t>
      </w:r>
      <w:r>
        <w:rPr>
          <w:rFonts w:ascii="Gill Sans" w:hAnsi="Gill Sans" w:cs="Gill Sans"/>
          <w:sz w:val="32"/>
          <w:szCs w:val="32"/>
        </w:rPr>
        <w:t>Grading Topics</w:t>
      </w:r>
    </w:p>
    <w:tbl>
      <w:tblPr>
        <w:tblStyle w:val="LightList"/>
        <w:tblW w:w="14958" w:type="dxa"/>
        <w:tblLayout w:type="fixed"/>
        <w:tblLook w:val="04A0" w:firstRow="1" w:lastRow="0" w:firstColumn="1" w:lastColumn="0" w:noHBand="0" w:noVBand="1"/>
      </w:tblPr>
      <w:tblGrid>
        <w:gridCol w:w="638"/>
        <w:gridCol w:w="820"/>
        <w:gridCol w:w="11786"/>
        <w:gridCol w:w="1714"/>
      </w:tblGrid>
      <w:tr w:rsidR="00BF0049" w:rsidRPr="0094248F" w14:paraId="2B031A21" w14:textId="77777777" w:rsidTr="00C9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618499C3" w14:textId="0DBBB4FC" w:rsidR="00BF0049" w:rsidRPr="003A4BD9" w:rsidRDefault="00BF0049" w:rsidP="00BF0049">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t>RL1, RI1, RL10, RI10</w:t>
            </w:r>
          </w:p>
        </w:tc>
        <w:tc>
          <w:tcPr>
            <w:tcW w:w="11786" w:type="dxa"/>
            <w:tcBorders>
              <w:bottom w:val="single" w:sz="4" w:space="0" w:color="auto"/>
            </w:tcBorders>
            <w:vAlign w:val="center"/>
          </w:tcPr>
          <w:p w14:paraId="370BBDDC" w14:textId="2CAAB703" w:rsidR="00BF0049" w:rsidRPr="0094248F" w:rsidRDefault="00BF0049" w:rsidP="00BF0049">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t>Comprehension Growth [Post in Semester 1 AND Semester 2]</w:t>
            </w:r>
          </w:p>
        </w:tc>
        <w:tc>
          <w:tcPr>
            <w:tcW w:w="1714" w:type="dxa"/>
            <w:tcBorders>
              <w:bottom w:val="single" w:sz="4" w:space="0" w:color="auto"/>
            </w:tcBorders>
            <w:vAlign w:val="center"/>
          </w:tcPr>
          <w:p w14:paraId="587F699A" w14:textId="77777777" w:rsidR="00BF0049" w:rsidRPr="0094248F" w:rsidRDefault="00BF0049" w:rsidP="00BF0049">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C97AEA" w:rsidRPr="00844B88" w14:paraId="6AC1BD02" w14:textId="77777777" w:rsidTr="00C97AE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310E2E05" w14:textId="5BFA1556" w:rsidR="00C97AEA" w:rsidRPr="00CB7C88" w:rsidRDefault="00C97AEA" w:rsidP="00C97AEA">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8083AFB" w14:textId="65C54EAB"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D67E28A" wp14:editId="756AC1F7">
                  <wp:extent cx="268605" cy="2686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CF05F48"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5C391EA" w14:textId="5C844231" w:rsidR="00C97AEA" w:rsidRPr="003A4BD9" w:rsidRDefault="00C97AEA" w:rsidP="00BF004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Comprehend text at a level equal to or exceeding expectations for a student of their grade level</w:t>
            </w:r>
          </w:p>
        </w:tc>
      </w:tr>
      <w:tr w:rsidR="00C97AEA" w:rsidRPr="00844B88" w14:paraId="39978487" w14:textId="77777777" w:rsidTr="00C97AEA">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5A5B5B7" w14:textId="7B077867" w:rsidR="00C97AEA" w:rsidRDefault="00C97AEA" w:rsidP="00C97AEA">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1392D9B" w14:textId="77777777" w:rsidR="00C97AEA"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79595DDC" w14:textId="77777777" w:rsidTr="00C97AE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57CF16F" w14:textId="706A7C93" w:rsidR="00C97AEA" w:rsidRPr="00CB7C88" w:rsidRDefault="00C97AEA" w:rsidP="00C97AEA">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454704E4" w14:textId="77777777"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682AFDE" wp14:editId="6EA1AAF7">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2DC6B379"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47072D15" w14:textId="3ADFE739" w:rsidR="00C97AEA" w:rsidRPr="0022670E" w:rsidRDefault="00C97AEA" w:rsidP="00BF004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Comprehend text at a level that shows notable or consistent growth from the student’s previous skills</w:t>
            </w:r>
          </w:p>
        </w:tc>
      </w:tr>
      <w:tr w:rsidR="00C97AEA" w:rsidRPr="00844B88" w14:paraId="7A6E045B" w14:textId="77777777" w:rsidTr="00C97AEA">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472BBF4" w14:textId="09975C7A" w:rsidR="00C97AEA" w:rsidRPr="00CB7C88" w:rsidRDefault="00C97AEA" w:rsidP="00C97AEA">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0A1635E" w14:textId="77777777" w:rsidR="00C97AEA" w:rsidRPr="0094248F"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06380015" w14:textId="77777777" w:rsidTr="00C97AE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9AA16F5" w14:textId="0BAADA1E" w:rsidR="00C97AEA" w:rsidRPr="00D46E16" w:rsidRDefault="00C97AEA" w:rsidP="00C97AEA">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3D3FB79B" w14:textId="77777777" w:rsidR="00C97AEA" w:rsidRPr="00D46E16"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B28C555" wp14:editId="7627349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0D3FFAD"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507A7DC6" w14:textId="4004772D" w:rsidR="00C97AEA" w:rsidRPr="003A4BD9" w:rsidRDefault="00C97AEA" w:rsidP="00BF004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A47BB8">
              <w:rPr>
                <w:rFonts w:ascii="Garamond" w:hAnsi="Garamond"/>
                <w:sz w:val="20"/>
              </w:rPr>
              <w:t xml:space="preserve">Comprehend text at a level </w:t>
            </w:r>
            <w:r>
              <w:rPr>
                <w:rFonts w:ascii="Garamond" w:hAnsi="Garamond"/>
                <w:sz w:val="20"/>
              </w:rPr>
              <w:t>that shows minimal or irregular growth from the student’s previous skill</w:t>
            </w:r>
          </w:p>
        </w:tc>
      </w:tr>
      <w:tr w:rsidR="00C97AEA" w:rsidRPr="00844B88" w14:paraId="62996048" w14:textId="77777777" w:rsidTr="00C97AEA">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6E96E1AF" w14:textId="4FE701D6" w:rsidR="00C97AEA" w:rsidRDefault="00C97AEA" w:rsidP="00C97AEA">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2D5CF7C1" w14:textId="77777777" w:rsidR="00C97AEA" w:rsidRPr="0094248F"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55A923C6" w14:textId="77777777" w:rsidTr="00C97AE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D67CF5E" w14:textId="6DA18248" w:rsidR="00C97AEA" w:rsidRPr="00CB7C88" w:rsidRDefault="00C97AEA" w:rsidP="00C97AEA">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028B034C" w14:textId="77777777"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919F945" wp14:editId="547CB9B0">
                  <wp:extent cx="268605" cy="268605"/>
                  <wp:effectExtent l="0" t="0" r="1079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6F5F4921"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A0A2C4A" w14:textId="358556E6" w:rsidR="00C97AEA" w:rsidRPr="00C97AEA" w:rsidRDefault="00C97AEA" w:rsidP="00C97AE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C97AEA">
              <w:rPr>
                <w:rFonts w:ascii="Garamond" w:hAnsi="Garamond"/>
                <w:sz w:val="20"/>
              </w:rPr>
              <w:t>Comprehend text at a level 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6351D6C5" w14:textId="77777777" w:rsidR="00C97AEA" w:rsidRPr="00844B88" w:rsidRDefault="00C97AEA" w:rsidP="00C97AEA">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225B9C9" w14:textId="77777777" w:rsidTr="00C97AEA">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0035F158" w14:textId="2FB2086D" w:rsidR="00C97AEA" w:rsidRDefault="00C97AEA" w:rsidP="00C97AEA">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0787AB6" w14:textId="77777777" w:rsidR="00C97AEA" w:rsidRPr="002E2754"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1908655F" w14:textId="77777777" w:rsidR="00C97AEA" w:rsidRPr="00CB7C88"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F9EDC7" w14:textId="0D292B26" w:rsidR="007746D2" w:rsidRDefault="007746D2" w:rsidP="007746D2">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C843C1" w:rsidRPr="0094248F" w14:paraId="431475EB" w14:textId="77777777" w:rsidTr="00C84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F7B951D" w14:textId="77777777" w:rsidR="00C843C1" w:rsidRPr="0094248F" w:rsidRDefault="00C843C1" w:rsidP="00C843C1">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C843C1" w:rsidRPr="0094248F" w14:paraId="2F4249F4" w14:textId="77777777" w:rsidTr="00C8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2FC7FEF" w14:textId="77777777" w:rsidR="00C843C1" w:rsidRPr="003A0291" w:rsidRDefault="00C843C1" w:rsidP="00C843C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BC492D9" w14:textId="77777777" w:rsidR="00C843C1" w:rsidRPr="0094248F" w:rsidRDefault="00C843C1" w:rsidP="00C843C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843C1" w:rsidRPr="00844B88" w14:paraId="703C3042" w14:textId="77777777" w:rsidTr="00C843C1">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D1BEC2F" w14:textId="77777777" w:rsidR="00C843C1" w:rsidRPr="00231C52" w:rsidRDefault="00C843C1" w:rsidP="00C843C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F9E8885" w14:textId="77777777" w:rsidR="00C843C1" w:rsidRPr="00C97AEA" w:rsidRDefault="00C97AEA" w:rsidP="00C843C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5223585A" w14:textId="5B894BDC"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Pr>
                <w:rFonts w:ascii="Garamond" w:hAnsi="Garamond"/>
              </w:rPr>
              <w:t>A</w:t>
            </w:r>
            <w:r w:rsidRPr="00C97AEA">
              <w:rPr>
                <w:rFonts w:ascii="Garamond" w:hAnsi="Garamond"/>
              </w:rPr>
              <w:t>ctivities</w:t>
            </w:r>
          </w:p>
          <w:p w14:paraId="5340990B" w14:textId="59B822CD"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Various comprehension approaches (teacher-led, productive group work, individual tasks)</w:t>
            </w:r>
          </w:p>
        </w:tc>
      </w:tr>
    </w:tbl>
    <w:p w14:paraId="5E4F7F55" w14:textId="3101543B" w:rsidR="00C843C1" w:rsidRDefault="00C843C1" w:rsidP="007746D2">
      <w:pPr>
        <w:rPr>
          <w:rFonts w:ascii="Gill Sans" w:hAnsi="Gill Sans" w:cs="Gill Sans"/>
          <w:sz w:val="32"/>
          <w:szCs w:val="32"/>
        </w:rPr>
      </w:pPr>
    </w:p>
    <w:p w14:paraId="7DB9AFAD" w14:textId="408B3465" w:rsidR="00880D3B" w:rsidRPr="00012A52" w:rsidRDefault="00C843C1" w:rsidP="00880D3B">
      <w:pPr>
        <w:rPr>
          <w:rFonts w:ascii="Gill Sans" w:hAnsi="Gill Sans" w:cs="Gill Sans"/>
          <w:sz w:val="32"/>
          <w:szCs w:val="32"/>
        </w:rPr>
      </w:pPr>
      <w:r>
        <w:rPr>
          <w:rFonts w:ascii="Gill Sans" w:hAnsi="Gill Sans" w:cs="Gill Sans"/>
          <w:sz w:val="32"/>
          <w:szCs w:val="32"/>
        </w:rPr>
        <w:br w:type="page"/>
      </w:r>
      <w:r w:rsidR="00880D3B" w:rsidRPr="00012A52">
        <w:rPr>
          <w:rFonts w:ascii="Gill Sans" w:hAnsi="Gill Sans" w:cs="Gill Sans"/>
          <w:sz w:val="32"/>
          <w:szCs w:val="32"/>
        </w:rPr>
        <w:lastRenderedPageBreak/>
        <w:t xml:space="preserve">Year-Long </w:t>
      </w:r>
      <w:r w:rsidR="00880D3B">
        <w:rPr>
          <w:rFonts w:ascii="Gill Sans" w:hAnsi="Gill Sans" w:cs="Gill Sans"/>
          <w:sz w:val="32"/>
          <w:szCs w:val="32"/>
        </w:rPr>
        <w:t xml:space="preserve">Power </w:t>
      </w:r>
      <w:r w:rsidR="00D71291">
        <w:rPr>
          <w:rFonts w:ascii="Gill Sans" w:hAnsi="Gill Sans" w:cs="Gill Sans"/>
          <w:sz w:val="32"/>
          <w:szCs w:val="32"/>
        </w:rPr>
        <w:t>Reading</w:t>
      </w:r>
      <w:r w:rsidR="00880D3B" w:rsidRPr="00012A52">
        <w:rPr>
          <w:rFonts w:ascii="Gill Sans" w:hAnsi="Gill Sans" w:cs="Gill Sans"/>
          <w:sz w:val="32"/>
          <w:szCs w:val="32"/>
        </w:rPr>
        <w:t xml:space="preserve"> </w:t>
      </w:r>
      <w:r w:rsidR="00880D3B">
        <w:rPr>
          <w:rFonts w:ascii="Gill Sans" w:hAnsi="Gill Sans" w:cs="Gill Sans"/>
          <w:sz w:val="32"/>
          <w:szCs w:val="32"/>
        </w:rPr>
        <w:t>Grading Topics, Continued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38C9917" w14:textId="77777777" w:rsidTr="00596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0D484390" w14:textId="5CA159F4" w:rsidR="00C97AEA" w:rsidRPr="003A4BD9" w:rsidRDefault="00C97AEA" w:rsidP="00C97AEA">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Pr>
                <w:rFonts w:ascii="Gill Sans" w:hAnsi="Gill Sans" w:cs="Gill Sans"/>
                <w:bCs w:val="0"/>
                <w:sz w:val="16"/>
              </w:rPr>
              <w:t>W4, W5</w:t>
            </w:r>
          </w:p>
        </w:tc>
        <w:tc>
          <w:tcPr>
            <w:tcW w:w="11786" w:type="dxa"/>
            <w:tcBorders>
              <w:bottom w:val="single" w:sz="4" w:space="0" w:color="auto"/>
            </w:tcBorders>
            <w:vAlign w:val="center"/>
          </w:tcPr>
          <w:p w14:paraId="2854AF80" w14:textId="14352C36" w:rsidR="00C97AEA" w:rsidRPr="0094248F" w:rsidRDefault="00C97AEA" w:rsidP="00C97AE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rPr>
              <w:t>Writing</w:t>
            </w:r>
            <w:r>
              <w:rPr>
                <w:rFonts w:ascii="Gill Sans" w:hAnsi="Gill Sans" w:cs="Gill Sans"/>
              </w:rPr>
              <w:t xml:space="preserve"> Growth [Post in Semester 1 AND Semester 2]</w:t>
            </w:r>
          </w:p>
        </w:tc>
        <w:tc>
          <w:tcPr>
            <w:tcW w:w="1714" w:type="dxa"/>
            <w:tcBorders>
              <w:bottom w:val="single" w:sz="4" w:space="0" w:color="auto"/>
            </w:tcBorders>
            <w:vAlign w:val="center"/>
          </w:tcPr>
          <w:p w14:paraId="53DD8037" w14:textId="77777777" w:rsidR="00C97AEA" w:rsidRPr="0094248F" w:rsidRDefault="00C97AEA" w:rsidP="0059658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C97AEA" w:rsidRPr="00844B88" w14:paraId="591BE5EC" w14:textId="77777777" w:rsidTr="0059658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73DA02C2" w14:textId="77777777" w:rsidR="00C97AEA" w:rsidRPr="00CB7C88" w:rsidRDefault="00C97AEA" w:rsidP="00596587">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DA8D2FA"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B265EA0" wp14:editId="6A0911A4">
                  <wp:extent cx="268605" cy="268605"/>
                  <wp:effectExtent l="0" t="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0143A3BF"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969562D" w14:textId="1AED7DE0" w:rsidR="00C97AEA" w:rsidRPr="003A4BD9" w:rsidRDefault="00C97AEA" w:rsidP="00C97A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Produce and edit both narrative and informational text at a level equal to or exceeding expectations for a student of their grade level</w:t>
            </w:r>
          </w:p>
        </w:tc>
      </w:tr>
      <w:tr w:rsidR="00C97AEA" w:rsidRPr="00844B88" w14:paraId="3F7E1F02" w14:textId="77777777" w:rsidTr="00596587">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1E506607" w14:textId="77777777" w:rsidR="00C97AEA" w:rsidRDefault="00C97AEA" w:rsidP="00596587">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D66E57A" w14:textId="77777777" w:rsidR="00C97AEA"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03392715" w14:textId="77777777" w:rsidTr="0059658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4787793" w14:textId="77777777" w:rsidR="00C97AEA" w:rsidRPr="00CB7C88" w:rsidRDefault="00C97AEA" w:rsidP="00596587">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7C903929"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8F6A188" wp14:editId="289FE042">
                  <wp:extent cx="268605" cy="268605"/>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1D6EDD2E"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42295A" w14:textId="4127DC9E" w:rsidR="00C97AEA" w:rsidRPr="0022670E" w:rsidRDefault="00C97AEA" w:rsidP="00C97AE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 text at a level that shows notable or consistent growth from the student’s previous skills</w:t>
            </w:r>
          </w:p>
        </w:tc>
      </w:tr>
      <w:tr w:rsidR="00C97AEA" w:rsidRPr="00844B88" w14:paraId="1657FCED" w14:textId="77777777" w:rsidTr="00596587">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29D0BBF" w14:textId="77777777" w:rsidR="00C97AEA" w:rsidRPr="00CB7C88" w:rsidRDefault="00C97AEA" w:rsidP="00596587">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1DD8844B" w14:textId="77777777" w:rsidR="00C97AEA" w:rsidRPr="0094248F"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6076FB0E" w14:textId="77777777" w:rsidTr="0059658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88ED51B" w14:textId="77777777" w:rsidR="00C97AEA" w:rsidRPr="00D46E16" w:rsidRDefault="00C97AEA" w:rsidP="00596587">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2A9251D0" w14:textId="77777777" w:rsidR="00C97AEA" w:rsidRPr="00D46E16"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86B1594" wp14:editId="5F277AD2">
                  <wp:extent cx="275843" cy="27584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1E030227"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3AC34EB" w14:textId="74764EEF" w:rsidR="00C97AEA" w:rsidRPr="003A4BD9" w:rsidRDefault="00C97AEA" w:rsidP="00C97AE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w:t>
            </w:r>
            <w:r w:rsidRPr="00A47BB8">
              <w:rPr>
                <w:rFonts w:ascii="Garamond" w:hAnsi="Garamond"/>
                <w:sz w:val="20"/>
              </w:rPr>
              <w:t xml:space="preserve"> text at a level </w:t>
            </w:r>
            <w:r>
              <w:rPr>
                <w:rFonts w:ascii="Garamond" w:hAnsi="Garamond"/>
                <w:sz w:val="20"/>
              </w:rPr>
              <w:t>that shows minimal or irregular growth from the student’s previous skill</w:t>
            </w:r>
          </w:p>
        </w:tc>
      </w:tr>
      <w:tr w:rsidR="00C97AEA" w:rsidRPr="00844B88" w14:paraId="4CD4A578" w14:textId="77777777" w:rsidTr="00596587">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F8A2033" w14:textId="77777777" w:rsidR="00C97AEA" w:rsidRDefault="00C97AEA" w:rsidP="00596587">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10235C0" w14:textId="77777777" w:rsidR="00C97AEA" w:rsidRPr="0094248F"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44B72495" w14:textId="77777777" w:rsidTr="0059658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4DCD892" w14:textId="77777777" w:rsidR="00C97AEA" w:rsidRPr="00CB7C88" w:rsidRDefault="00C97AEA" w:rsidP="00596587">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776D0E29"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89FC301" wp14:editId="7408A260">
                  <wp:extent cx="268605" cy="268605"/>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192879B0"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0139EE1D" w14:textId="40D1057E" w:rsidR="00C97AEA" w:rsidRPr="00C97AEA" w:rsidRDefault="00C97AEA" w:rsidP="00C97AE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w:t>
            </w:r>
            <w:r w:rsidRPr="00A47BB8">
              <w:rPr>
                <w:rFonts w:ascii="Garamond" w:hAnsi="Garamond"/>
                <w:sz w:val="20"/>
              </w:rPr>
              <w:t xml:space="preserve"> text 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26707EA4" w14:textId="77777777" w:rsidR="00C97AEA" w:rsidRPr="00844B88" w:rsidRDefault="00C97AEA" w:rsidP="00596587">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D2DA52B" w14:textId="77777777" w:rsidTr="00596587">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410346A7" w14:textId="77777777" w:rsidR="00C97AEA" w:rsidRDefault="00C97AEA" w:rsidP="00596587">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5BA40A5" w14:textId="77777777" w:rsidR="00C97AEA" w:rsidRPr="002E2754"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4EDAD3" w14:textId="77777777" w:rsidR="00C97AEA" w:rsidRPr="00CB7C88"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79130F2C"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2B8170FC"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B3A0291"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773D6B57"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FD83436"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457CC17"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97AEA" w:rsidRPr="00844B88" w14:paraId="67827D17"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4BD268" w14:textId="77777777" w:rsidR="00C97AEA" w:rsidRPr="00231C52" w:rsidRDefault="00C97AEA"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643E555" w14:textId="77777777" w:rsidR="00C97AEA" w:rsidRPr="00C97AEA"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673EDC8E" w14:textId="35C5EEB7" w:rsidR="00C97AEA" w:rsidRDefault="00C97AEA" w:rsidP="00880D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Pr>
                <w:rFonts w:ascii="Garamond" w:hAnsi="Garamond"/>
              </w:rPr>
              <w:t>Thought Question</w:t>
            </w:r>
          </w:p>
          <w:p w14:paraId="19D3A58B" w14:textId="45E03669"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Various </w:t>
            </w:r>
            <w:r>
              <w:rPr>
                <w:rFonts w:ascii="Garamond" w:hAnsi="Garamond"/>
              </w:rPr>
              <w:t>writing</w:t>
            </w:r>
            <w:r w:rsidRPr="00C97AEA">
              <w:rPr>
                <w:rFonts w:ascii="Garamond" w:hAnsi="Garamond"/>
              </w:rPr>
              <w:t xml:space="preserve"> approaches (teacher-led, productive group work, individual tasks)</w:t>
            </w:r>
          </w:p>
        </w:tc>
      </w:tr>
    </w:tbl>
    <w:p w14:paraId="1405D305" w14:textId="77777777" w:rsidR="00880D3B" w:rsidRDefault="00880D3B" w:rsidP="00880D3B">
      <w:pPr>
        <w:rPr>
          <w:rFonts w:ascii="Gill Sans" w:hAnsi="Gill Sans" w:cs="Gill Sans"/>
          <w:sz w:val="32"/>
          <w:szCs w:val="32"/>
        </w:rPr>
      </w:pPr>
    </w:p>
    <w:p w14:paraId="3E7D1D5D" w14:textId="77777777" w:rsidR="00880D3B" w:rsidRDefault="00880D3B" w:rsidP="00880D3B">
      <w:pPr>
        <w:rPr>
          <w:rFonts w:ascii="Gill Sans" w:hAnsi="Gill Sans" w:cs="Gill Sans"/>
          <w:sz w:val="32"/>
          <w:szCs w:val="32"/>
        </w:rPr>
      </w:pPr>
      <w:r>
        <w:rPr>
          <w:rFonts w:ascii="Gill Sans" w:hAnsi="Gill Sans" w:cs="Gill Sans"/>
          <w:sz w:val="32"/>
          <w:szCs w:val="32"/>
        </w:rPr>
        <w:br w:type="page"/>
      </w:r>
    </w:p>
    <w:p w14:paraId="4A3B1710" w14:textId="5BD0AE1E" w:rsidR="00880D3B" w:rsidRPr="00012A52" w:rsidRDefault="00880D3B" w:rsidP="00880D3B">
      <w:pPr>
        <w:rPr>
          <w:rFonts w:ascii="Gill Sans" w:hAnsi="Gill Sans" w:cs="Gill Sans"/>
          <w:sz w:val="32"/>
          <w:szCs w:val="32"/>
        </w:rPr>
      </w:pPr>
      <w:r w:rsidRPr="00012A52">
        <w:rPr>
          <w:rFonts w:ascii="Gill Sans" w:hAnsi="Gill Sans" w:cs="Gill Sans"/>
          <w:sz w:val="32"/>
          <w:szCs w:val="32"/>
        </w:rPr>
        <w:lastRenderedPageBreak/>
        <w:t xml:space="preserve">Year-Long </w:t>
      </w:r>
      <w:r>
        <w:rPr>
          <w:rFonts w:ascii="Gill Sans" w:hAnsi="Gill Sans" w:cs="Gill Sans"/>
          <w:sz w:val="32"/>
          <w:szCs w:val="32"/>
        </w:rPr>
        <w:t xml:space="preserve">Power </w:t>
      </w:r>
      <w:r w:rsidR="00D71291">
        <w:rPr>
          <w:rFonts w:ascii="Gill Sans" w:hAnsi="Gill Sans" w:cs="Gill Sans"/>
          <w:sz w:val="32"/>
          <w:szCs w:val="32"/>
        </w:rPr>
        <w:t>Reading</w:t>
      </w:r>
      <w:r w:rsidRPr="00012A52">
        <w:rPr>
          <w:rFonts w:ascii="Gill Sans" w:hAnsi="Gill Sans" w:cs="Gill Sans"/>
          <w:sz w:val="32"/>
          <w:szCs w:val="32"/>
        </w:rPr>
        <w:t xml:space="preserve"> </w:t>
      </w:r>
      <w:r w:rsidR="003B0C76">
        <w:rPr>
          <w:rFonts w:ascii="Gill Sans" w:hAnsi="Gill Sans" w:cs="Gill Sans"/>
          <w:sz w:val="32"/>
          <w:szCs w:val="32"/>
        </w:rPr>
        <w:t>Grading Topics, Concluded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447F142" w14:textId="77777777" w:rsidTr="00596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524D2162" w14:textId="7CCED774" w:rsidR="00C97AEA" w:rsidRPr="003A4BD9" w:rsidRDefault="00C97AEA" w:rsidP="00596587">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Pr>
                <w:rFonts w:ascii="Gill Sans" w:hAnsi="Gill Sans" w:cs="Gill Sans"/>
                <w:bCs w:val="0"/>
                <w:sz w:val="16"/>
              </w:rPr>
              <w:t>RL4, RI4, L4, L5, L6</w:t>
            </w:r>
          </w:p>
        </w:tc>
        <w:tc>
          <w:tcPr>
            <w:tcW w:w="11786" w:type="dxa"/>
            <w:tcBorders>
              <w:bottom w:val="single" w:sz="4" w:space="0" w:color="auto"/>
            </w:tcBorders>
            <w:vAlign w:val="center"/>
          </w:tcPr>
          <w:p w14:paraId="7406992B" w14:textId="13614FB0" w:rsidR="00C97AEA" w:rsidRPr="0094248F" w:rsidRDefault="00C97AEA" w:rsidP="00C97AE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rPr>
              <w:t>Vocabulary</w:t>
            </w:r>
            <w:r>
              <w:rPr>
                <w:rFonts w:ascii="Gill Sans" w:hAnsi="Gill Sans" w:cs="Gill Sans"/>
              </w:rPr>
              <w:t xml:space="preserve"> Growth [Post in Semester 1 AND Semester 2]</w:t>
            </w:r>
          </w:p>
        </w:tc>
        <w:tc>
          <w:tcPr>
            <w:tcW w:w="1714" w:type="dxa"/>
            <w:tcBorders>
              <w:bottom w:val="single" w:sz="4" w:space="0" w:color="auto"/>
            </w:tcBorders>
            <w:vAlign w:val="center"/>
          </w:tcPr>
          <w:p w14:paraId="3C2F0E64" w14:textId="77777777" w:rsidR="00C97AEA" w:rsidRPr="0094248F" w:rsidRDefault="00C97AEA" w:rsidP="0059658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C97AEA" w:rsidRPr="00844B88" w14:paraId="075D92DC" w14:textId="77777777" w:rsidTr="0059658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06FF7681" w14:textId="77777777" w:rsidR="00C97AEA" w:rsidRPr="00CB7C88" w:rsidRDefault="00C97AEA" w:rsidP="00596587">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1171DA5B"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CFD4298" wp14:editId="4AF0C398">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E7E1927"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13773AD" w14:textId="0697D087" w:rsidR="00C97AEA" w:rsidRPr="003A4BD9" w:rsidRDefault="00C97AEA" w:rsidP="00C97AEA">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Acquire and use vocabulary at a level equal to or exceeding expectations for a student of their grade level</w:t>
            </w:r>
          </w:p>
        </w:tc>
      </w:tr>
      <w:tr w:rsidR="00C97AEA" w:rsidRPr="00844B88" w14:paraId="7D541E06" w14:textId="77777777" w:rsidTr="00596587">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2BD7C1B0" w14:textId="77777777" w:rsidR="00C97AEA" w:rsidRDefault="00C97AEA" w:rsidP="00596587">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F2E4685" w14:textId="77777777" w:rsidR="00C97AEA"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22A7503D" w14:textId="77777777" w:rsidTr="0059658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F10D7D9" w14:textId="77777777" w:rsidR="00C97AEA" w:rsidRPr="00CB7C88" w:rsidRDefault="00C97AEA" w:rsidP="00596587">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6435697C"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18C7A29" wp14:editId="55372580">
                  <wp:extent cx="268605" cy="268605"/>
                  <wp:effectExtent l="0" t="0" r="107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314CFCF"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8FB88A" w14:textId="4074F6D7" w:rsidR="00C97AEA" w:rsidRPr="0022670E" w:rsidRDefault="00C97AEA" w:rsidP="00C97AEA">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Acquire and use vocabulary at a level that shows notable or consistent growth from the student’s previous skills</w:t>
            </w:r>
          </w:p>
        </w:tc>
      </w:tr>
      <w:tr w:rsidR="00C97AEA" w:rsidRPr="00844B88" w14:paraId="580DD8E2" w14:textId="77777777" w:rsidTr="00596587">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7BE004B" w14:textId="77777777" w:rsidR="00C97AEA" w:rsidRPr="00CB7C88" w:rsidRDefault="00C97AEA" w:rsidP="00596587">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1F1DDF57" w14:textId="77777777" w:rsidR="00C97AEA" w:rsidRPr="0094248F"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7AA79658" w14:textId="77777777" w:rsidTr="0059658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6462C7F" w14:textId="77777777" w:rsidR="00C97AEA" w:rsidRPr="00D46E16" w:rsidRDefault="00C97AEA" w:rsidP="00596587">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6D25C82B" w14:textId="77777777" w:rsidR="00C97AEA" w:rsidRPr="00D46E16"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FA67897" wp14:editId="706D1191">
                  <wp:extent cx="275843" cy="275843"/>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2E7F9B6"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2ED0A0F" w14:textId="08637EA2" w:rsidR="00C97AEA" w:rsidRPr="003A4BD9" w:rsidRDefault="00C97AEA" w:rsidP="00C97AE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Acquire and use vocabulary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C97AEA" w:rsidRPr="00844B88" w14:paraId="41D01FF4" w14:textId="77777777" w:rsidTr="00596587">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A3FB751" w14:textId="77777777" w:rsidR="00C97AEA" w:rsidRDefault="00C97AEA" w:rsidP="00596587">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49684FF4" w14:textId="77777777" w:rsidR="00C97AEA" w:rsidRPr="0094248F"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63AD9E5A" w14:textId="77777777" w:rsidTr="00596587">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866A516" w14:textId="77777777" w:rsidR="00C97AEA" w:rsidRPr="00CB7C88" w:rsidRDefault="00C97AEA" w:rsidP="00596587">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44D827D7" w14:textId="77777777" w:rsidR="00C97AEA" w:rsidRPr="00CB7C88" w:rsidRDefault="00C97AEA" w:rsidP="00596587">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347EA47" wp14:editId="18F37059">
                  <wp:extent cx="268605" cy="268605"/>
                  <wp:effectExtent l="0" t="0" r="1079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0CB6C393" w14:textId="77777777" w:rsidR="00C97AEA" w:rsidRPr="0094248F" w:rsidRDefault="00C97AEA" w:rsidP="0059658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6B4A04A" w14:textId="5A79A3EF" w:rsidR="00C97AEA" w:rsidRPr="00C97AEA" w:rsidRDefault="00C97AEA" w:rsidP="00C97AEA">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Acquire and use vocabulary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3A7633CA" w14:textId="77777777" w:rsidR="00C97AEA" w:rsidRPr="00844B88" w:rsidRDefault="00C97AEA" w:rsidP="00596587">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62A19C7D" w14:textId="77777777" w:rsidTr="00596587">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16A0D7F6" w14:textId="77777777" w:rsidR="00C97AEA" w:rsidRDefault="00C97AEA" w:rsidP="00596587">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389B61C" w14:textId="77777777" w:rsidR="00C97AEA" w:rsidRPr="002E2754"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1C1D6C" w14:textId="77777777" w:rsidR="00C97AEA" w:rsidRPr="00CB7C88"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1A7174"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3EE0DC3B"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47F3354"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4BE8BEFA"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36D9E8C"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F6835E8"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97AEA" w:rsidRPr="00844B88" w14:paraId="13B46839"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3AF3516A" w14:textId="77777777" w:rsidR="00C97AEA" w:rsidRPr="00231C52" w:rsidRDefault="00C97AEA"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30FB6BF" w14:textId="77777777" w:rsidR="00C97AEA" w:rsidRPr="00C97AEA" w:rsidRDefault="00C97AEA" w:rsidP="00596587">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25C3182A" w14:textId="7E783EA8" w:rsidR="00C97AEA" w:rsidRDefault="00C97AEA" w:rsidP="00880D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Pr>
                <w:rFonts w:ascii="Garamond" w:hAnsi="Garamond"/>
              </w:rPr>
              <w:t>Article Vocabulary</w:t>
            </w:r>
          </w:p>
          <w:p w14:paraId="23872C1F" w14:textId="787A4366"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Various </w:t>
            </w:r>
            <w:r>
              <w:rPr>
                <w:rFonts w:ascii="Garamond" w:hAnsi="Garamond"/>
              </w:rPr>
              <w:t>vocabulary</w:t>
            </w:r>
            <w:r w:rsidRPr="00C97AEA">
              <w:rPr>
                <w:rFonts w:ascii="Garamond" w:hAnsi="Garamond"/>
              </w:rPr>
              <w:t xml:space="preserve"> approaches (teacher-led, productive group work, individual tasks)</w:t>
            </w:r>
          </w:p>
        </w:tc>
      </w:tr>
    </w:tbl>
    <w:p w14:paraId="0B0F06B6" w14:textId="77777777" w:rsidR="00880D3B" w:rsidRDefault="00880D3B" w:rsidP="00880D3B">
      <w:pPr>
        <w:rPr>
          <w:rFonts w:ascii="Gill Sans" w:hAnsi="Gill Sans" w:cs="Gill Sans"/>
          <w:sz w:val="32"/>
          <w:szCs w:val="32"/>
        </w:rPr>
      </w:pPr>
    </w:p>
    <w:p w14:paraId="08722E65" w14:textId="16B46A37" w:rsidR="00734A1E" w:rsidRDefault="00734A1E" w:rsidP="005E1C0C">
      <w:pPr>
        <w:rPr>
          <w:rFonts w:ascii="Gill Sans" w:hAnsi="Gill Sans" w:cs="Gill Sans"/>
          <w:sz w:val="32"/>
          <w:szCs w:val="32"/>
        </w:rPr>
      </w:pPr>
    </w:p>
    <w:sectPr w:rsidR="00734A1E" w:rsidSect="00E3432B">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BF0049" w:rsidRDefault="00BF0049" w:rsidP="00177107">
      <w:pPr>
        <w:spacing w:after="0" w:line="240" w:lineRule="auto"/>
      </w:pPr>
      <w:r>
        <w:separator/>
      </w:r>
    </w:p>
  </w:endnote>
  <w:endnote w:type="continuationSeparator" w:id="0">
    <w:p w14:paraId="66CEACCF" w14:textId="77777777" w:rsidR="00BF0049" w:rsidRDefault="00BF0049"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B3141" w14:textId="306AA2AD" w:rsidR="00BF0049" w:rsidRPr="00D037BD" w:rsidRDefault="00BF0049">
    <w:pPr>
      <w:pStyle w:val="Footer"/>
      <w:rPr>
        <w:rFonts w:ascii="Gill Sans MT" w:hAnsi="Gill Sans MT"/>
        <w:sz w:val="28"/>
      </w:rPr>
    </w:pPr>
    <w:r w:rsidRPr="00D037BD">
      <w:rPr>
        <w:rStyle w:val="PageNumber"/>
        <w:rFonts w:ascii="Gill Sans MT" w:hAnsi="Gill Sans MT"/>
        <w:sz w:val="28"/>
      </w:rPr>
      <w:fldChar w:fldCharType="begin"/>
    </w:r>
    <w:r w:rsidRPr="00D037BD">
      <w:rPr>
        <w:rStyle w:val="PageNumber"/>
        <w:rFonts w:ascii="Gill Sans MT" w:hAnsi="Gill Sans MT"/>
        <w:sz w:val="28"/>
      </w:rPr>
      <w:instrText xml:space="preserve"> PAGE </w:instrText>
    </w:r>
    <w:r w:rsidRPr="00D037BD">
      <w:rPr>
        <w:rStyle w:val="PageNumber"/>
        <w:rFonts w:ascii="Gill Sans MT" w:hAnsi="Gill Sans MT"/>
        <w:sz w:val="28"/>
      </w:rPr>
      <w:fldChar w:fldCharType="separate"/>
    </w:r>
    <w:r w:rsidR="0029183E">
      <w:rPr>
        <w:rStyle w:val="PageNumber"/>
        <w:rFonts w:ascii="Gill Sans MT" w:hAnsi="Gill Sans MT"/>
        <w:noProof/>
        <w:sz w:val="28"/>
      </w:rPr>
      <w:t>2</w:t>
    </w:r>
    <w:r w:rsidRPr="00D037BD">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6C96D" w14:textId="77777777" w:rsidR="00BF0049" w:rsidRDefault="00BF0049" w:rsidP="005E1C0C">
    <w:pPr>
      <w:pStyle w:val="Footer"/>
      <w:rPr>
        <w:rStyle w:val="Hyperlink"/>
        <w:sz w:val="32"/>
      </w:rPr>
    </w:pPr>
    <w:hyperlink r:id="rId1" w:history="1">
      <w:r w:rsidRPr="008F3ADF">
        <w:rPr>
          <w:rStyle w:val="Hyperlink"/>
          <w:sz w:val="32"/>
        </w:rPr>
        <w:t>http://secondaryliteracy.dmschools.org</w:t>
      </w:r>
    </w:hyperlink>
  </w:p>
  <w:p w14:paraId="04B41F7C" w14:textId="63BA3D80" w:rsidR="00BF0049" w:rsidRDefault="00BF0049" w:rsidP="005E1C0C">
    <w:pPr>
      <w:pStyle w:val="Footer"/>
    </w:pPr>
    <w:hyperlink r:id="rId2" w:history="1">
      <w:r w:rsidRPr="0095126B">
        <w:rPr>
          <w:rStyle w:val="Hyperlink"/>
          <w:sz w:val="32"/>
        </w:rPr>
        <w:t>http://grading.dmschools.org</w:t>
      </w:r>
    </w:hyperlink>
    <w:r>
      <w:rPr>
        <w:sz w:val="36"/>
      </w:rPr>
      <w:tab/>
    </w:r>
    <w:r>
      <w:rPr>
        <w:sz w:val="36"/>
      </w:rPr>
      <w:tab/>
    </w:r>
    <w:r>
      <w:rPr>
        <w:sz w:val="36"/>
      </w:rPr>
      <w:tab/>
    </w:r>
    <w:r>
      <w:rPr>
        <w:sz w:val="36"/>
      </w:rPr>
      <w:tab/>
      <w:t>Version: Alpha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BF0049" w:rsidRDefault="00BF0049" w:rsidP="00177107">
      <w:pPr>
        <w:spacing w:after="0" w:line="240" w:lineRule="auto"/>
      </w:pPr>
      <w:r>
        <w:separator/>
      </w:r>
    </w:p>
  </w:footnote>
  <w:footnote w:type="continuationSeparator" w:id="0">
    <w:p w14:paraId="11EB4B61" w14:textId="77777777" w:rsidR="00BF0049" w:rsidRDefault="00BF0049"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BF0049" w:rsidRDefault="00BF0049">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3673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BF0049" w14:paraId="4479B382" w14:textId="77777777" w:rsidTr="00177107">
      <w:trPr>
        <w:trHeight w:val="288"/>
      </w:trPr>
      <w:tc>
        <w:tcPr>
          <w:tcW w:w="6685" w:type="dxa"/>
        </w:tcPr>
        <w:p w14:paraId="4FE6E832" w14:textId="1A94B6AC" w:rsidR="00BF0049" w:rsidRPr="00041A10" w:rsidRDefault="00BF0049" w:rsidP="00571E75">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Content>
              <w:r>
                <w:rPr>
                  <w:rFonts w:ascii="Trebuchet MS" w:eastAsiaTheme="majorEastAsia" w:hAnsi="Trebuchet MS" w:cstheme="majorBidi"/>
                  <w:sz w:val="36"/>
                  <w:szCs w:val="36"/>
                </w:rPr>
                <w:t>Power Reading</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5" w:type="dxa"/>
            </w:tcPr>
            <w:p w14:paraId="6866A2A0" w14:textId="03378903" w:rsidR="00BF0049" w:rsidRPr="00041A10" w:rsidRDefault="00BF0049"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0BE864D6" w14:textId="77777777" w:rsidR="00BF0049" w:rsidRDefault="00BF00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792"/>
    <w:multiLevelType w:val="hybridMultilevel"/>
    <w:tmpl w:val="088E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22C23"/>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572"/>
    <w:multiLevelType w:val="hybridMultilevel"/>
    <w:tmpl w:val="761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E7C2E"/>
    <w:multiLevelType w:val="hybridMultilevel"/>
    <w:tmpl w:val="A02C60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5137A9"/>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5CCA"/>
    <w:multiLevelType w:val="hybridMultilevel"/>
    <w:tmpl w:val="D8E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C41FF"/>
    <w:multiLevelType w:val="hybridMultilevel"/>
    <w:tmpl w:val="2CFE93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C5F3244"/>
    <w:multiLevelType w:val="hybridMultilevel"/>
    <w:tmpl w:val="20C48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6E31A3F"/>
    <w:multiLevelType w:val="hybridMultilevel"/>
    <w:tmpl w:val="251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B753E"/>
    <w:multiLevelType w:val="hybridMultilevel"/>
    <w:tmpl w:val="1D129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9CA77ED"/>
    <w:multiLevelType w:val="hybridMultilevel"/>
    <w:tmpl w:val="FEEC54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DCC1986"/>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293"/>
    <w:multiLevelType w:val="hybridMultilevel"/>
    <w:tmpl w:val="A7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80B52"/>
    <w:multiLevelType w:val="hybridMultilevel"/>
    <w:tmpl w:val="D5B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27540"/>
    <w:multiLevelType w:val="hybridMultilevel"/>
    <w:tmpl w:val="C78A8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BFD76F7"/>
    <w:multiLevelType w:val="hybridMultilevel"/>
    <w:tmpl w:val="7046B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D5202EA"/>
    <w:multiLevelType w:val="hybridMultilevel"/>
    <w:tmpl w:val="BE30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2551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A6DE8"/>
    <w:multiLevelType w:val="hybridMultilevel"/>
    <w:tmpl w:val="61C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90B26"/>
    <w:multiLevelType w:val="hybridMultilevel"/>
    <w:tmpl w:val="8D7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B3CA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1EA0"/>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72CA1"/>
    <w:multiLevelType w:val="hybridMultilevel"/>
    <w:tmpl w:val="72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97181"/>
    <w:multiLevelType w:val="hybridMultilevel"/>
    <w:tmpl w:val="ABF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014EF"/>
    <w:multiLevelType w:val="hybridMultilevel"/>
    <w:tmpl w:val="75B2BC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C4A1D53"/>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E4D42"/>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B1512"/>
    <w:multiLevelType w:val="hybridMultilevel"/>
    <w:tmpl w:val="271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E7084"/>
    <w:multiLevelType w:val="hybridMultilevel"/>
    <w:tmpl w:val="A2A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17689"/>
    <w:multiLevelType w:val="hybridMultilevel"/>
    <w:tmpl w:val="7C02F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E694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168E1"/>
    <w:multiLevelType w:val="hybridMultilevel"/>
    <w:tmpl w:val="769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56DF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13037"/>
    <w:multiLevelType w:val="hybridMultilevel"/>
    <w:tmpl w:val="A1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9"/>
  </w:num>
  <w:num w:numId="4">
    <w:abstractNumId w:val="19"/>
  </w:num>
  <w:num w:numId="5">
    <w:abstractNumId w:val="18"/>
  </w:num>
  <w:num w:numId="6">
    <w:abstractNumId w:val="30"/>
  </w:num>
  <w:num w:numId="7">
    <w:abstractNumId w:val="11"/>
  </w:num>
  <w:num w:numId="8">
    <w:abstractNumId w:val="3"/>
  </w:num>
  <w:num w:numId="9">
    <w:abstractNumId w:val="16"/>
  </w:num>
  <w:num w:numId="10">
    <w:abstractNumId w:val="13"/>
  </w:num>
  <w:num w:numId="11">
    <w:abstractNumId w:val="8"/>
  </w:num>
  <w:num w:numId="12">
    <w:abstractNumId w:val="21"/>
  </w:num>
  <w:num w:numId="13">
    <w:abstractNumId w:val="9"/>
  </w:num>
  <w:num w:numId="14">
    <w:abstractNumId w:val="7"/>
  </w:num>
  <w:num w:numId="15">
    <w:abstractNumId w:val="0"/>
  </w:num>
  <w:num w:numId="16">
    <w:abstractNumId w:val="2"/>
  </w:num>
  <w:num w:numId="17">
    <w:abstractNumId w:val="35"/>
  </w:num>
  <w:num w:numId="18">
    <w:abstractNumId w:val="29"/>
  </w:num>
  <w:num w:numId="19">
    <w:abstractNumId w:val="24"/>
  </w:num>
  <w:num w:numId="20">
    <w:abstractNumId w:val="5"/>
  </w:num>
  <w:num w:numId="21">
    <w:abstractNumId w:val="14"/>
  </w:num>
  <w:num w:numId="22">
    <w:abstractNumId w:val="6"/>
  </w:num>
  <w:num w:numId="23">
    <w:abstractNumId w:val="28"/>
  </w:num>
  <w:num w:numId="24">
    <w:abstractNumId w:val="10"/>
  </w:num>
  <w:num w:numId="25">
    <w:abstractNumId w:val="23"/>
  </w:num>
  <w:num w:numId="26">
    <w:abstractNumId w:val="37"/>
  </w:num>
  <w:num w:numId="27">
    <w:abstractNumId w:val="34"/>
  </w:num>
  <w:num w:numId="28">
    <w:abstractNumId w:val="33"/>
  </w:num>
  <w:num w:numId="29">
    <w:abstractNumId w:val="4"/>
  </w:num>
  <w:num w:numId="30">
    <w:abstractNumId w:val="17"/>
  </w:num>
  <w:num w:numId="31">
    <w:abstractNumId w:val="27"/>
  </w:num>
  <w:num w:numId="32">
    <w:abstractNumId w:val="26"/>
  </w:num>
  <w:num w:numId="33">
    <w:abstractNumId w:val="12"/>
  </w:num>
  <w:num w:numId="34">
    <w:abstractNumId w:val="22"/>
  </w:num>
  <w:num w:numId="35">
    <w:abstractNumId w:val="38"/>
  </w:num>
  <w:num w:numId="36">
    <w:abstractNumId w:val="31"/>
  </w:num>
  <w:num w:numId="37">
    <w:abstractNumId w:val="1"/>
  </w:num>
  <w:num w:numId="38">
    <w:abstractNumId w:val="36"/>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2A52"/>
    <w:rsid w:val="0001366A"/>
    <w:rsid w:val="00036139"/>
    <w:rsid w:val="00037AC0"/>
    <w:rsid w:val="00041A10"/>
    <w:rsid w:val="00043A60"/>
    <w:rsid w:val="00051D5D"/>
    <w:rsid w:val="000600D7"/>
    <w:rsid w:val="00067270"/>
    <w:rsid w:val="00074D3B"/>
    <w:rsid w:val="000758B0"/>
    <w:rsid w:val="00095A5E"/>
    <w:rsid w:val="000A7AA1"/>
    <w:rsid w:val="000B4626"/>
    <w:rsid w:val="000C6579"/>
    <w:rsid w:val="000D2AE3"/>
    <w:rsid w:val="000D6122"/>
    <w:rsid w:val="000F4A92"/>
    <w:rsid w:val="00137FAA"/>
    <w:rsid w:val="00144DB4"/>
    <w:rsid w:val="0016492F"/>
    <w:rsid w:val="00171240"/>
    <w:rsid w:val="00177107"/>
    <w:rsid w:val="00187A54"/>
    <w:rsid w:val="00192C68"/>
    <w:rsid w:val="001A669C"/>
    <w:rsid w:val="001A6E19"/>
    <w:rsid w:val="001B16A8"/>
    <w:rsid w:val="001E6391"/>
    <w:rsid w:val="002025ED"/>
    <w:rsid w:val="0020386C"/>
    <w:rsid w:val="00206F81"/>
    <w:rsid w:val="00275AFC"/>
    <w:rsid w:val="00280946"/>
    <w:rsid w:val="0028290F"/>
    <w:rsid w:val="00286452"/>
    <w:rsid w:val="0029183E"/>
    <w:rsid w:val="002A4F35"/>
    <w:rsid w:val="002B4268"/>
    <w:rsid w:val="002C0630"/>
    <w:rsid w:val="002D4899"/>
    <w:rsid w:val="002D5083"/>
    <w:rsid w:val="002D634A"/>
    <w:rsid w:val="002F26C3"/>
    <w:rsid w:val="003125C6"/>
    <w:rsid w:val="003159AF"/>
    <w:rsid w:val="00324A0D"/>
    <w:rsid w:val="00334E1A"/>
    <w:rsid w:val="00342FDD"/>
    <w:rsid w:val="00344A07"/>
    <w:rsid w:val="00360F03"/>
    <w:rsid w:val="00374F3B"/>
    <w:rsid w:val="003779A8"/>
    <w:rsid w:val="003923F7"/>
    <w:rsid w:val="003A0266"/>
    <w:rsid w:val="003B0C76"/>
    <w:rsid w:val="003C5B3E"/>
    <w:rsid w:val="003C7092"/>
    <w:rsid w:val="004005DF"/>
    <w:rsid w:val="00417176"/>
    <w:rsid w:val="00442B06"/>
    <w:rsid w:val="004605BA"/>
    <w:rsid w:val="004B061A"/>
    <w:rsid w:val="004B76CF"/>
    <w:rsid w:val="004D2BA2"/>
    <w:rsid w:val="004F2243"/>
    <w:rsid w:val="00532411"/>
    <w:rsid w:val="0054625D"/>
    <w:rsid w:val="00551EC0"/>
    <w:rsid w:val="00571E75"/>
    <w:rsid w:val="005816A7"/>
    <w:rsid w:val="005A4EC6"/>
    <w:rsid w:val="005C28D2"/>
    <w:rsid w:val="005E1C0C"/>
    <w:rsid w:val="005E3CBB"/>
    <w:rsid w:val="005F12F6"/>
    <w:rsid w:val="005F151D"/>
    <w:rsid w:val="005F7EA5"/>
    <w:rsid w:val="0060403D"/>
    <w:rsid w:val="006053DD"/>
    <w:rsid w:val="006445D4"/>
    <w:rsid w:val="006544F3"/>
    <w:rsid w:val="00673470"/>
    <w:rsid w:val="006C1349"/>
    <w:rsid w:val="006C1F67"/>
    <w:rsid w:val="006C7F29"/>
    <w:rsid w:val="006D2BB2"/>
    <w:rsid w:val="006D42AA"/>
    <w:rsid w:val="006D43A2"/>
    <w:rsid w:val="006D5C2F"/>
    <w:rsid w:val="00700123"/>
    <w:rsid w:val="00705EAD"/>
    <w:rsid w:val="00722666"/>
    <w:rsid w:val="00734A1E"/>
    <w:rsid w:val="00745ACD"/>
    <w:rsid w:val="00747ADB"/>
    <w:rsid w:val="007746D2"/>
    <w:rsid w:val="00775E2D"/>
    <w:rsid w:val="007921C0"/>
    <w:rsid w:val="007B3D86"/>
    <w:rsid w:val="00803906"/>
    <w:rsid w:val="00825F24"/>
    <w:rsid w:val="00826F65"/>
    <w:rsid w:val="00837FA9"/>
    <w:rsid w:val="0084421C"/>
    <w:rsid w:val="008571CD"/>
    <w:rsid w:val="00857CDB"/>
    <w:rsid w:val="00880D3B"/>
    <w:rsid w:val="00893D50"/>
    <w:rsid w:val="00894B9C"/>
    <w:rsid w:val="008A2060"/>
    <w:rsid w:val="008B17A9"/>
    <w:rsid w:val="008F13B1"/>
    <w:rsid w:val="00907957"/>
    <w:rsid w:val="00924F8B"/>
    <w:rsid w:val="009355F3"/>
    <w:rsid w:val="0094248F"/>
    <w:rsid w:val="009511BC"/>
    <w:rsid w:val="00952573"/>
    <w:rsid w:val="009739BD"/>
    <w:rsid w:val="009922CF"/>
    <w:rsid w:val="009A0927"/>
    <w:rsid w:val="009A2F16"/>
    <w:rsid w:val="009A6564"/>
    <w:rsid w:val="009A7D51"/>
    <w:rsid w:val="009C5496"/>
    <w:rsid w:val="009F1C5B"/>
    <w:rsid w:val="009F1CC5"/>
    <w:rsid w:val="009F5C6E"/>
    <w:rsid w:val="00A2523A"/>
    <w:rsid w:val="00A41E59"/>
    <w:rsid w:val="00A47BB8"/>
    <w:rsid w:val="00A47D13"/>
    <w:rsid w:val="00A76E04"/>
    <w:rsid w:val="00AA2368"/>
    <w:rsid w:val="00AA7083"/>
    <w:rsid w:val="00AD7883"/>
    <w:rsid w:val="00AE0DCC"/>
    <w:rsid w:val="00AE3823"/>
    <w:rsid w:val="00AE5D43"/>
    <w:rsid w:val="00AE6AAB"/>
    <w:rsid w:val="00AF4272"/>
    <w:rsid w:val="00B106B0"/>
    <w:rsid w:val="00B16D26"/>
    <w:rsid w:val="00B27D3B"/>
    <w:rsid w:val="00B47DC5"/>
    <w:rsid w:val="00B961ED"/>
    <w:rsid w:val="00BC750E"/>
    <w:rsid w:val="00BD5E1F"/>
    <w:rsid w:val="00BF0049"/>
    <w:rsid w:val="00BF4BA0"/>
    <w:rsid w:val="00C06BF7"/>
    <w:rsid w:val="00C154DA"/>
    <w:rsid w:val="00C16FEA"/>
    <w:rsid w:val="00C34123"/>
    <w:rsid w:val="00C34D2E"/>
    <w:rsid w:val="00C4170A"/>
    <w:rsid w:val="00C54865"/>
    <w:rsid w:val="00C741A5"/>
    <w:rsid w:val="00C80324"/>
    <w:rsid w:val="00C83CCD"/>
    <w:rsid w:val="00C843C1"/>
    <w:rsid w:val="00C92C9C"/>
    <w:rsid w:val="00C97AEA"/>
    <w:rsid w:val="00CC05D3"/>
    <w:rsid w:val="00CE563A"/>
    <w:rsid w:val="00CF754C"/>
    <w:rsid w:val="00D0225E"/>
    <w:rsid w:val="00D037BD"/>
    <w:rsid w:val="00D10E2C"/>
    <w:rsid w:val="00D11826"/>
    <w:rsid w:val="00D1325E"/>
    <w:rsid w:val="00D147A7"/>
    <w:rsid w:val="00D17DF5"/>
    <w:rsid w:val="00D62669"/>
    <w:rsid w:val="00D70D53"/>
    <w:rsid w:val="00D71291"/>
    <w:rsid w:val="00DA159C"/>
    <w:rsid w:val="00E01363"/>
    <w:rsid w:val="00E021CF"/>
    <w:rsid w:val="00E04EBC"/>
    <w:rsid w:val="00E14522"/>
    <w:rsid w:val="00E22FA6"/>
    <w:rsid w:val="00E2771A"/>
    <w:rsid w:val="00E3432B"/>
    <w:rsid w:val="00E72E79"/>
    <w:rsid w:val="00EA4639"/>
    <w:rsid w:val="00EB2253"/>
    <w:rsid w:val="00EB5F60"/>
    <w:rsid w:val="00EC3D97"/>
    <w:rsid w:val="00EE7C1A"/>
    <w:rsid w:val="00F04113"/>
    <w:rsid w:val="00F458C6"/>
    <w:rsid w:val="00F52656"/>
    <w:rsid w:val="00F65D11"/>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9D72A-C4F0-1142-8103-C2378DC9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890</Words>
  <Characters>5076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Reading</dc:title>
  <dc:creator>Donald, Christi</dc:creator>
  <cp:lastModifiedBy>Jeremiah Schwennen</cp:lastModifiedBy>
  <cp:revision>4</cp:revision>
  <cp:lastPrinted>2015-07-08T14:07:00Z</cp:lastPrinted>
  <dcterms:created xsi:type="dcterms:W3CDTF">2016-06-03T01:05:00Z</dcterms:created>
  <dcterms:modified xsi:type="dcterms:W3CDTF">2016-06-03T01:36:00Z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